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003196234"/>
        <w:docPartObj>
          <w:docPartGallery w:val="Cover Pages"/>
          <w:docPartUnique/>
        </w:docPartObj>
      </w:sdtPr>
      <w:sdtEndPr>
        <w:rPr>
          <w:rFonts w:cstheme="minorHAnsi"/>
          <w:b/>
          <w:bCs/>
          <w:sz w:val="28"/>
          <w:szCs w:val="28"/>
        </w:rPr>
      </w:sdtEndPr>
      <w:sdtContent>
        <w:p w14:paraId="1ACE345C" w14:textId="1069C23A" w:rsidR="00F00A08" w:rsidRDefault="00F00A08">
          <w:r>
            <w:rPr>
              <w:noProof/>
            </w:rPr>
            <mc:AlternateContent>
              <mc:Choice Requires="wps">
                <w:drawing>
                  <wp:anchor distT="0" distB="0" distL="114300" distR="114300" simplePos="0" relativeHeight="251659264" behindDoc="1" locked="0" layoutInCell="1" allowOverlap="0" wp14:anchorId="73BB5C19" wp14:editId="75C93180">
                    <wp:simplePos x="0" y="0"/>
                    <wp:positionH relativeFrom="page">
                      <wp:align>center</wp:align>
                    </wp:positionH>
                    <wp:positionV relativeFrom="page">
                      <wp:align>center</wp:align>
                    </wp:positionV>
                    <wp:extent cx="6858000" cy="914400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F00A08" w14:paraId="4E6FDECA" w14:textId="77777777">
                                  <w:trPr>
                                    <w:trHeight w:hRule="exact" w:val="9360"/>
                                  </w:trPr>
                                  <w:tc>
                                    <w:tcPr>
                                      <w:tcW w:w="9350" w:type="dxa"/>
                                    </w:tcPr>
                                    <w:p w14:paraId="477429AE" w14:textId="77777777" w:rsidR="00F00A08" w:rsidRDefault="00F00A08">
                                      <w:r>
                                        <w:rPr>
                                          <w:noProof/>
                                        </w:rPr>
                                        <w:drawing>
                                          <wp:inline distT="0" distB="0" distL="0" distR="0" wp14:anchorId="0B46D62B" wp14:editId="3792EE56">
                                            <wp:extent cx="6858000" cy="5961888"/>
                                            <wp:effectExtent l="0" t="0" r="0" b="1270"/>
                                            <wp:docPr id="5"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7" cstate="print">
                                                      <a:extLst>
                                                        <a:ext uri="{28A0092B-C50C-407E-A947-70E740481C1C}">
                                                          <a14:useLocalDpi xmlns:a14="http://schemas.microsoft.com/office/drawing/2010/main" val="0"/>
                                                        </a:ext>
                                                      </a:extLst>
                                                    </a:blip>
                                                    <a:srcRect l="18915" t="2451" r="22299" b="20665"/>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F00A08" w14:paraId="27DAC053" w14:textId="77777777">
                                  <w:trPr>
                                    <w:trHeight w:hRule="exact" w:val="4320"/>
                                  </w:trPr>
                                  <w:tc>
                                    <w:tcPr>
                                      <w:tcW w:w="9350" w:type="dxa"/>
                                      <w:shd w:val="clear" w:color="auto" w:fill="454545" w:themeFill="text2"/>
                                      <w:vAlign w:val="center"/>
                                    </w:tcPr>
                                    <w:p w14:paraId="34C2B869" w14:textId="1BB7BB57" w:rsidR="00F00A08" w:rsidRDefault="00F00A08">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453A2E7581B24C74B47A6991EF9E90AA"/>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olor w:val="FFFFFF" w:themeColor="background1"/>
                                              <w:sz w:val="96"/>
                                              <w:szCs w:val="96"/>
                                            </w:rPr>
                                            <w:t>Ramsey Healthcare</w:t>
                                          </w:r>
                                        </w:sdtContent>
                                      </w:sdt>
                                    </w:p>
                                    <w:p w14:paraId="2D29637F" w14:textId="5317FAE8" w:rsidR="00F00A08" w:rsidRDefault="00F00A08">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A011C7521B6E45279C3373D2B5D61B9A"/>
                                          </w:placeholder>
                                          <w:dataBinding w:prefixMappings="xmlns:ns0='http://purl.org/dc/elements/1.1/' xmlns:ns1='http://schemas.openxmlformats.org/package/2006/metadata/core-properties' " w:xpath="/ns1:coreProperties[1]/ns0:subject[1]" w:storeItemID="{6C3C8BC8-F283-45AE-878A-BAB7291924A1}"/>
                                          <w:text/>
                                        </w:sdtPr>
                                        <w:sdtContent>
                                          <w:r>
                                            <w:rPr>
                                              <w:color w:val="FFFFFF" w:themeColor="background1"/>
                                              <w:sz w:val="32"/>
                                              <w:szCs w:val="32"/>
                                            </w:rPr>
                                            <w:t>Financing and Payout Recommendations</w:t>
                                          </w:r>
                                        </w:sdtContent>
                                      </w:sdt>
                                    </w:p>
                                  </w:tc>
                                </w:tr>
                                <w:tr w:rsidR="00F00A08" w14:paraId="24B465D8" w14:textId="77777777">
                                  <w:trPr>
                                    <w:trHeight w:hRule="exact" w:val="720"/>
                                  </w:trPr>
                                  <w:tc>
                                    <w:tcPr>
                                      <w:tcW w:w="9350" w:type="dxa"/>
                                      <w:shd w:val="clear" w:color="auto" w:fill="4A9BDC"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F00A08" w14:paraId="3ED74066" w14:textId="77777777">
                                        <w:trPr>
                                          <w:trHeight w:hRule="exact" w:val="720"/>
                                        </w:trPr>
                                        <w:tc>
                                          <w:tcPr>
                                            <w:tcW w:w="3590" w:type="dxa"/>
                                            <w:vAlign w:val="center"/>
                                          </w:tcPr>
                                          <w:p w14:paraId="0E110B0B" w14:textId="651C4FD1" w:rsidR="00F00A08" w:rsidRDefault="00F00A08">
                                            <w:pPr>
                                              <w:pStyle w:val="NoSpacing"/>
                                              <w:ind w:left="720" w:right="144"/>
                                              <w:rPr>
                                                <w:color w:val="FFFFFF" w:themeColor="background1"/>
                                              </w:rPr>
                                            </w:pPr>
                                            <w:sdt>
                                              <w:sdtPr>
                                                <w:rPr>
                                                  <w:color w:val="FFFFFF" w:themeColor="background1"/>
                                                </w:rPr>
                                                <w:alias w:val="Author"/>
                                                <w:tag w:val=""/>
                                                <w:id w:val="942812742"/>
                                                <w:placeholder>
                                                  <w:docPart w:val="70070393E7A946CA9F189978FA99F9D8"/>
                                                </w:placeholder>
                                                <w:dataBinding w:prefixMappings="xmlns:ns0='http://purl.org/dc/elements/1.1/' xmlns:ns1='http://schemas.openxmlformats.org/package/2006/metadata/core-properties' " w:xpath="/ns1:coreProperties[1]/ns0:creator[1]" w:storeItemID="{6C3C8BC8-F283-45AE-878A-BAB7291924A1}"/>
                                                <w:text/>
                                              </w:sdtPr>
                                              <w:sdtContent>
                                                <w:r w:rsidRPr="00F00A08">
                                                  <w:rPr>
                                                    <w:color w:val="FFFFFF" w:themeColor="background1"/>
                                                  </w:rPr>
                                                  <w:t>Maitrya Anupam</w:t>
                                                </w:r>
                                              </w:sdtContent>
                                            </w:sdt>
                                          </w:p>
                                        </w:tc>
                                        <w:tc>
                                          <w:tcPr>
                                            <w:tcW w:w="3591" w:type="dxa"/>
                                            <w:vAlign w:val="center"/>
                                          </w:tcPr>
                                          <w:sdt>
                                            <w:sdtPr>
                                              <w:rPr>
                                                <w:color w:val="FFFFFF" w:themeColor="background1"/>
                                              </w:rPr>
                                              <w:alias w:val="Date"/>
                                              <w:tag w:val=""/>
                                              <w:id w:val="748164578"/>
                                              <w:placeholder>
                                                <w:docPart w:val="3933C56E426644FAA50C9F1F04093BF4"/>
                                              </w:placeholder>
                                              <w:dataBinding w:prefixMappings="xmlns:ns0='http://schemas.microsoft.com/office/2006/coverPageProps' " w:xpath="/ns0:CoverPageProperties[1]/ns0:PublishDate[1]" w:storeItemID="{55AF091B-3C7A-41E3-B477-F2FDAA23CFDA}"/>
                                              <w:date w:fullDate="2023-11-14T00:00:00Z">
                                                <w:dateFormat w:val="M/d/yy"/>
                                                <w:lid w:val="en-US"/>
                                                <w:storeMappedDataAs w:val="dateTime"/>
                                                <w:calendar w:val="gregorian"/>
                                              </w:date>
                                            </w:sdtPr>
                                            <w:sdtContent>
                                              <w:p w14:paraId="3EE16523" w14:textId="5B4E1FE7" w:rsidR="00F00A08" w:rsidRDefault="00F00A08">
                                                <w:pPr>
                                                  <w:pStyle w:val="NoSpacing"/>
                                                  <w:ind w:left="144" w:right="144"/>
                                                  <w:jc w:val="center"/>
                                                  <w:rPr>
                                                    <w:color w:val="FFFFFF" w:themeColor="background1"/>
                                                  </w:rPr>
                                                </w:pPr>
                                                <w:r>
                                                  <w:rPr>
                                                    <w:color w:val="FFFFFF" w:themeColor="background1"/>
                                                    <w:lang w:val="en-US"/>
                                                  </w:rPr>
                                                  <w:t>11/14/23</w:t>
                                                </w:r>
                                              </w:p>
                                            </w:sdtContent>
                                          </w:sdt>
                                        </w:tc>
                                        <w:sdt>
                                          <w:sdtPr>
                                            <w:rPr>
                                              <w:color w:val="FFFFFF" w:themeColor="background1"/>
                                            </w:rPr>
                                            <w:alias w:val="Course title"/>
                                            <w:tag w:val=""/>
                                            <w:id w:val="-15923909"/>
                                            <w:placeholder>
                                              <w:docPart w:val="722AFCE6158F4E57A28805AEF4959BB6"/>
                                            </w:placeholde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67F1B5C5" w14:textId="26274E7C" w:rsidR="00F00A08" w:rsidRDefault="00F00A08">
                                                <w:pPr>
                                                  <w:pStyle w:val="NoSpacing"/>
                                                  <w:ind w:left="144" w:right="720"/>
                                                  <w:jc w:val="right"/>
                                                  <w:rPr>
                                                    <w:color w:val="FFFFFF" w:themeColor="background1"/>
                                                  </w:rPr>
                                                </w:pPr>
                                                <w:r>
                                                  <w:rPr>
                                                    <w:color w:val="FFFFFF" w:themeColor="background1"/>
                                                  </w:rPr>
                                                  <w:t>Corporate Finance</w:t>
                                                </w:r>
                                              </w:p>
                                            </w:tc>
                                          </w:sdtContent>
                                        </w:sdt>
                                      </w:tr>
                                    </w:tbl>
                                    <w:p w14:paraId="62CE703B" w14:textId="77777777" w:rsidR="00F00A08" w:rsidRDefault="00F00A08"/>
                                  </w:tc>
                                </w:tr>
                              </w:tbl>
                              <w:p w14:paraId="37B3E437" w14:textId="77777777" w:rsidR="00F00A08" w:rsidRDefault="00F00A0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BB5C19" id="_x0000_t202" coordsize="21600,21600" o:spt="202" path="m,l,21600r21600,l21600,xe">
                    <v:stroke joinstyle="miter"/>
                    <v:path gradientshapeok="t" o:connecttype="rect"/>
                  </v:shapetype>
                  <v:shape id="Text Box 1"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5"/>
                          </w:tblGrid>
                          <w:tr w:rsidR="00F00A08" w14:paraId="4E6FDECA" w14:textId="77777777">
                            <w:trPr>
                              <w:trHeight w:hRule="exact" w:val="9360"/>
                            </w:trPr>
                            <w:tc>
                              <w:tcPr>
                                <w:tcW w:w="9350" w:type="dxa"/>
                              </w:tcPr>
                              <w:p w14:paraId="477429AE" w14:textId="77777777" w:rsidR="00F00A08" w:rsidRDefault="00F00A08">
                                <w:r>
                                  <w:rPr>
                                    <w:noProof/>
                                  </w:rPr>
                                  <w:drawing>
                                    <wp:inline distT="0" distB="0" distL="0" distR="0" wp14:anchorId="0B46D62B" wp14:editId="3792EE56">
                                      <wp:extent cx="6858000" cy="5961888"/>
                                      <wp:effectExtent l="0" t="0" r="0" b="1270"/>
                                      <wp:docPr id="5"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7" cstate="print">
                                                <a:extLst>
                                                  <a:ext uri="{28A0092B-C50C-407E-A947-70E740481C1C}">
                                                    <a14:useLocalDpi xmlns:a14="http://schemas.microsoft.com/office/drawing/2010/main" val="0"/>
                                                  </a:ext>
                                                </a:extLst>
                                              </a:blip>
                                              <a:srcRect l="18915" t="2451" r="22299" b="20665"/>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F00A08" w14:paraId="27DAC053" w14:textId="77777777">
                            <w:trPr>
                              <w:trHeight w:hRule="exact" w:val="4320"/>
                            </w:trPr>
                            <w:tc>
                              <w:tcPr>
                                <w:tcW w:w="9350" w:type="dxa"/>
                                <w:shd w:val="clear" w:color="auto" w:fill="454545" w:themeFill="text2"/>
                                <w:vAlign w:val="center"/>
                              </w:tcPr>
                              <w:p w14:paraId="34C2B869" w14:textId="1BB7BB57" w:rsidR="00F00A08" w:rsidRDefault="00F00A08">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739824258"/>
                                    <w:placeholder>
                                      <w:docPart w:val="453A2E7581B24C74B47A6991EF9E90AA"/>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olor w:val="FFFFFF" w:themeColor="background1"/>
                                        <w:sz w:val="96"/>
                                        <w:szCs w:val="96"/>
                                      </w:rPr>
                                      <w:t>Ramsey Healthcare</w:t>
                                    </w:r>
                                  </w:sdtContent>
                                </w:sdt>
                              </w:p>
                              <w:p w14:paraId="2D29637F" w14:textId="5317FAE8" w:rsidR="00F00A08" w:rsidRDefault="00F00A08">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A011C7521B6E45279C3373D2B5D61B9A"/>
                                    </w:placeholder>
                                    <w:dataBinding w:prefixMappings="xmlns:ns0='http://purl.org/dc/elements/1.1/' xmlns:ns1='http://schemas.openxmlformats.org/package/2006/metadata/core-properties' " w:xpath="/ns1:coreProperties[1]/ns0:subject[1]" w:storeItemID="{6C3C8BC8-F283-45AE-878A-BAB7291924A1}"/>
                                    <w:text/>
                                  </w:sdtPr>
                                  <w:sdtContent>
                                    <w:r>
                                      <w:rPr>
                                        <w:color w:val="FFFFFF" w:themeColor="background1"/>
                                        <w:sz w:val="32"/>
                                        <w:szCs w:val="32"/>
                                      </w:rPr>
                                      <w:t>Financing and Payout Recommendations</w:t>
                                    </w:r>
                                  </w:sdtContent>
                                </w:sdt>
                              </w:p>
                            </w:tc>
                          </w:tr>
                          <w:tr w:rsidR="00F00A08" w14:paraId="24B465D8" w14:textId="77777777">
                            <w:trPr>
                              <w:trHeight w:hRule="exact" w:val="720"/>
                            </w:trPr>
                            <w:tc>
                              <w:tcPr>
                                <w:tcW w:w="9350" w:type="dxa"/>
                                <w:shd w:val="clear" w:color="auto" w:fill="4A9BDC" w:themeFill="accent6"/>
                              </w:tcPr>
                              <w:tbl>
                                <w:tblPr>
                                  <w:tblW w:w="5000" w:type="pct"/>
                                  <w:tblCellMar>
                                    <w:left w:w="0" w:type="dxa"/>
                                    <w:right w:w="0" w:type="dxa"/>
                                  </w:tblCellMar>
                                  <w:tblLook w:val="04A0" w:firstRow="1" w:lastRow="0" w:firstColumn="1" w:lastColumn="0" w:noHBand="0" w:noVBand="1"/>
                                  <w:tblDescription w:val="Cover page info"/>
                                </w:tblPr>
                                <w:tblGrid>
                                  <w:gridCol w:w="3601"/>
                                  <w:gridCol w:w="3602"/>
                                  <w:gridCol w:w="3602"/>
                                </w:tblGrid>
                                <w:tr w:rsidR="00F00A08" w14:paraId="3ED74066" w14:textId="77777777">
                                  <w:trPr>
                                    <w:trHeight w:hRule="exact" w:val="720"/>
                                  </w:trPr>
                                  <w:tc>
                                    <w:tcPr>
                                      <w:tcW w:w="3590" w:type="dxa"/>
                                      <w:vAlign w:val="center"/>
                                    </w:tcPr>
                                    <w:p w14:paraId="0E110B0B" w14:textId="651C4FD1" w:rsidR="00F00A08" w:rsidRDefault="00F00A08">
                                      <w:pPr>
                                        <w:pStyle w:val="NoSpacing"/>
                                        <w:ind w:left="720" w:right="144"/>
                                        <w:rPr>
                                          <w:color w:val="FFFFFF" w:themeColor="background1"/>
                                        </w:rPr>
                                      </w:pPr>
                                      <w:sdt>
                                        <w:sdtPr>
                                          <w:rPr>
                                            <w:color w:val="FFFFFF" w:themeColor="background1"/>
                                          </w:rPr>
                                          <w:alias w:val="Author"/>
                                          <w:tag w:val=""/>
                                          <w:id w:val="942812742"/>
                                          <w:placeholder>
                                            <w:docPart w:val="70070393E7A946CA9F189978FA99F9D8"/>
                                          </w:placeholder>
                                          <w:dataBinding w:prefixMappings="xmlns:ns0='http://purl.org/dc/elements/1.1/' xmlns:ns1='http://schemas.openxmlformats.org/package/2006/metadata/core-properties' " w:xpath="/ns1:coreProperties[1]/ns0:creator[1]" w:storeItemID="{6C3C8BC8-F283-45AE-878A-BAB7291924A1}"/>
                                          <w:text/>
                                        </w:sdtPr>
                                        <w:sdtContent>
                                          <w:r w:rsidRPr="00F00A08">
                                            <w:rPr>
                                              <w:color w:val="FFFFFF" w:themeColor="background1"/>
                                            </w:rPr>
                                            <w:t>Maitrya Anupam</w:t>
                                          </w:r>
                                        </w:sdtContent>
                                      </w:sdt>
                                    </w:p>
                                  </w:tc>
                                  <w:tc>
                                    <w:tcPr>
                                      <w:tcW w:w="3591" w:type="dxa"/>
                                      <w:vAlign w:val="center"/>
                                    </w:tcPr>
                                    <w:sdt>
                                      <w:sdtPr>
                                        <w:rPr>
                                          <w:color w:val="FFFFFF" w:themeColor="background1"/>
                                        </w:rPr>
                                        <w:alias w:val="Date"/>
                                        <w:tag w:val=""/>
                                        <w:id w:val="748164578"/>
                                        <w:placeholder>
                                          <w:docPart w:val="3933C56E426644FAA50C9F1F04093BF4"/>
                                        </w:placeholder>
                                        <w:dataBinding w:prefixMappings="xmlns:ns0='http://schemas.microsoft.com/office/2006/coverPageProps' " w:xpath="/ns0:CoverPageProperties[1]/ns0:PublishDate[1]" w:storeItemID="{55AF091B-3C7A-41E3-B477-F2FDAA23CFDA}"/>
                                        <w:date w:fullDate="2023-11-14T00:00:00Z">
                                          <w:dateFormat w:val="M/d/yy"/>
                                          <w:lid w:val="en-US"/>
                                          <w:storeMappedDataAs w:val="dateTime"/>
                                          <w:calendar w:val="gregorian"/>
                                        </w:date>
                                      </w:sdtPr>
                                      <w:sdtContent>
                                        <w:p w14:paraId="3EE16523" w14:textId="5B4E1FE7" w:rsidR="00F00A08" w:rsidRDefault="00F00A08">
                                          <w:pPr>
                                            <w:pStyle w:val="NoSpacing"/>
                                            <w:ind w:left="144" w:right="144"/>
                                            <w:jc w:val="center"/>
                                            <w:rPr>
                                              <w:color w:val="FFFFFF" w:themeColor="background1"/>
                                            </w:rPr>
                                          </w:pPr>
                                          <w:r>
                                            <w:rPr>
                                              <w:color w:val="FFFFFF" w:themeColor="background1"/>
                                              <w:lang w:val="en-US"/>
                                            </w:rPr>
                                            <w:t>11/14/23</w:t>
                                          </w:r>
                                        </w:p>
                                      </w:sdtContent>
                                    </w:sdt>
                                  </w:tc>
                                  <w:sdt>
                                    <w:sdtPr>
                                      <w:rPr>
                                        <w:color w:val="FFFFFF" w:themeColor="background1"/>
                                      </w:rPr>
                                      <w:alias w:val="Course title"/>
                                      <w:tag w:val=""/>
                                      <w:id w:val="-15923909"/>
                                      <w:placeholder>
                                        <w:docPart w:val="722AFCE6158F4E57A28805AEF4959BB6"/>
                                      </w:placeholde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67F1B5C5" w14:textId="26274E7C" w:rsidR="00F00A08" w:rsidRDefault="00F00A08">
                                          <w:pPr>
                                            <w:pStyle w:val="NoSpacing"/>
                                            <w:ind w:left="144" w:right="720"/>
                                            <w:jc w:val="right"/>
                                            <w:rPr>
                                              <w:color w:val="FFFFFF" w:themeColor="background1"/>
                                            </w:rPr>
                                          </w:pPr>
                                          <w:r>
                                            <w:rPr>
                                              <w:color w:val="FFFFFF" w:themeColor="background1"/>
                                            </w:rPr>
                                            <w:t>Corporate Finance</w:t>
                                          </w:r>
                                        </w:p>
                                      </w:tc>
                                    </w:sdtContent>
                                  </w:sdt>
                                </w:tr>
                              </w:tbl>
                              <w:p w14:paraId="62CE703B" w14:textId="77777777" w:rsidR="00F00A08" w:rsidRDefault="00F00A08"/>
                            </w:tc>
                          </w:tr>
                        </w:tbl>
                        <w:p w14:paraId="37B3E437" w14:textId="77777777" w:rsidR="00F00A08" w:rsidRDefault="00F00A08"/>
                      </w:txbxContent>
                    </v:textbox>
                    <w10:wrap anchorx="page" anchory="page"/>
                  </v:shape>
                </w:pict>
              </mc:Fallback>
            </mc:AlternateContent>
          </w:r>
        </w:p>
        <w:p w14:paraId="62789836" w14:textId="229BCE19" w:rsidR="00F00A08" w:rsidRDefault="00F00A08">
          <w:pPr>
            <w:rPr>
              <w:rFonts w:cstheme="minorHAnsi"/>
              <w:b/>
              <w:bCs/>
              <w:sz w:val="28"/>
              <w:szCs w:val="28"/>
            </w:rPr>
          </w:pPr>
          <w:r>
            <w:rPr>
              <w:rFonts w:cstheme="minorHAnsi"/>
              <w:b/>
              <w:bCs/>
              <w:sz w:val="28"/>
              <w:szCs w:val="28"/>
            </w:rPr>
            <w:br w:type="page"/>
          </w:r>
        </w:p>
      </w:sdtContent>
    </w:sdt>
    <w:p w14:paraId="7684FF6D" w14:textId="3301ADE2" w:rsidR="00D938F5" w:rsidRPr="00D938F5" w:rsidRDefault="00F00A08" w:rsidP="00D938F5">
      <w:pPr>
        <w:spacing w:line="360" w:lineRule="auto"/>
        <w:rPr>
          <w:rFonts w:cstheme="minorHAnsi"/>
          <w:b/>
          <w:bCs/>
          <w:sz w:val="28"/>
          <w:szCs w:val="28"/>
        </w:rPr>
      </w:pPr>
      <w:r>
        <w:rPr>
          <w:rFonts w:cstheme="minorHAnsi"/>
          <w:b/>
          <w:bCs/>
          <w:sz w:val="28"/>
          <w:szCs w:val="28"/>
        </w:rPr>
        <w:lastRenderedPageBreak/>
        <w:t>E</w:t>
      </w:r>
      <w:r w:rsidR="00D938F5" w:rsidRPr="00D938F5">
        <w:rPr>
          <w:rFonts w:cstheme="minorHAnsi"/>
          <w:b/>
          <w:bCs/>
          <w:sz w:val="28"/>
          <w:szCs w:val="28"/>
        </w:rPr>
        <w:t>xecutive Summary</w:t>
      </w:r>
      <w:r w:rsidR="00D938F5">
        <w:rPr>
          <w:rFonts w:cstheme="minorHAnsi"/>
          <w:b/>
          <w:bCs/>
          <w:sz w:val="28"/>
          <w:szCs w:val="28"/>
        </w:rPr>
        <w:t>:</w:t>
      </w:r>
    </w:p>
    <w:p w14:paraId="4EF86408" w14:textId="77777777" w:rsidR="00D938F5" w:rsidRPr="00D938F5" w:rsidRDefault="00D938F5" w:rsidP="00D938F5">
      <w:pPr>
        <w:spacing w:line="360" w:lineRule="auto"/>
        <w:rPr>
          <w:rFonts w:cstheme="minorHAnsi"/>
          <w:sz w:val="24"/>
          <w:szCs w:val="24"/>
        </w:rPr>
      </w:pPr>
      <w:r w:rsidRPr="00D938F5">
        <w:rPr>
          <w:rFonts w:cstheme="minorHAnsi"/>
          <w:sz w:val="24"/>
          <w:szCs w:val="24"/>
        </w:rPr>
        <w:t>Ramsay Health Care Limited (RHC) has exhibited aggressive financing over the past five years, with significant reliance on debt. A comparative analysis with peers, SHL and CHE, reveals that RHC's financial metrics, including debt-to-equity and interest coverage ratios, signify potential financial vulnerabilities.</w:t>
      </w:r>
    </w:p>
    <w:p w14:paraId="020646A9" w14:textId="17AF67BB" w:rsidR="00D938F5" w:rsidRPr="00D938F5" w:rsidRDefault="00D938F5" w:rsidP="00D938F5">
      <w:pPr>
        <w:spacing w:line="360" w:lineRule="auto"/>
        <w:rPr>
          <w:rFonts w:cstheme="minorHAnsi"/>
          <w:sz w:val="24"/>
          <w:szCs w:val="24"/>
        </w:rPr>
      </w:pPr>
      <w:r w:rsidRPr="00D938F5">
        <w:rPr>
          <w:rFonts w:cstheme="minorHAnsi"/>
          <w:sz w:val="24"/>
          <w:szCs w:val="24"/>
        </w:rPr>
        <w:t xml:space="preserve">For the upcoming year, RHC has expansive investment plans in both hospital and out-of-hospital services. The projected financial requirement for 2024 is between $1.734 to $1.964 billion. Even though RHC has secured a revolving bank loan facility of A$1.5 billion, it's crucial to strategize the financing mix. After considering the present value of interest tax shield and financial distress costs, raising more than approximately $800 million through debt could be counterproductive. Consequently, it is advised that RHC should not pay out dividends for the year 2024 and instead channelize it back into the firm. Raising the remaining amount can be achieved through issuing new equity or </w:t>
      </w:r>
      <w:r w:rsidR="00BF0004">
        <w:rPr>
          <w:rFonts w:cstheme="minorHAnsi"/>
          <w:sz w:val="24"/>
          <w:szCs w:val="24"/>
        </w:rPr>
        <w:t>by</w:t>
      </w:r>
      <w:r w:rsidRPr="00D938F5">
        <w:rPr>
          <w:rFonts w:cstheme="minorHAnsi"/>
          <w:sz w:val="24"/>
          <w:szCs w:val="24"/>
        </w:rPr>
        <w:t xml:space="preserve"> a rights issue.</w:t>
      </w:r>
      <w:r w:rsidR="00BF0004">
        <w:rPr>
          <w:rFonts w:cstheme="minorHAnsi"/>
          <w:sz w:val="24"/>
          <w:szCs w:val="24"/>
        </w:rPr>
        <w:t xml:space="preserve"> Not paying out dividends can affect the stock price for the firm negatively as it’s not being conservative in </w:t>
      </w:r>
      <w:r w:rsidR="00B2421E">
        <w:rPr>
          <w:rFonts w:cstheme="minorHAnsi"/>
          <w:sz w:val="24"/>
          <w:szCs w:val="24"/>
        </w:rPr>
        <w:t>its</w:t>
      </w:r>
      <w:r w:rsidR="00BF0004">
        <w:rPr>
          <w:rFonts w:cstheme="minorHAnsi"/>
          <w:sz w:val="24"/>
          <w:szCs w:val="24"/>
        </w:rPr>
        <w:t xml:space="preserve"> payout policy.</w:t>
      </w:r>
    </w:p>
    <w:p w14:paraId="2B9E5B7F" w14:textId="0F130579" w:rsidR="00D938F5" w:rsidRPr="00D938F5" w:rsidRDefault="00D938F5" w:rsidP="00D938F5">
      <w:pPr>
        <w:spacing w:line="360" w:lineRule="auto"/>
        <w:rPr>
          <w:rFonts w:cstheme="minorHAnsi"/>
          <w:sz w:val="24"/>
          <w:szCs w:val="24"/>
        </w:rPr>
      </w:pPr>
      <w:r w:rsidRPr="00D938F5">
        <w:rPr>
          <w:rFonts w:cstheme="minorHAnsi"/>
          <w:sz w:val="24"/>
          <w:szCs w:val="24"/>
        </w:rPr>
        <w:t>While RHC has witnessed negative dividend growth, peers like Sonic and Chemed Corporation show varied strategies. Sonic has a history of mergers and acquisitions, while Chemed has engaged in share repurchases. To strengthen its financial stance, RHC should abstain from dividends and focus on capital reinvestment.</w:t>
      </w:r>
    </w:p>
    <w:p w14:paraId="0636126A" w14:textId="3ACED3C1" w:rsidR="005D2FBA" w:rsidRPr="00C96D3A" w:rsidRDefault="008C6E79" w:rsidP="00A613A8">
      <w:pPr>
        <w:spacing w:line="360" w:lineRule="auto"/>
        <w:rPr>
          <w:rFonts w:cstheme="minorHAnsi"/>
          <w:b/>
          <w:bCs/>
          <w:sz w:val="28"/>
          <w:szCs w:val="28"/>
        </w:rPr>
      </w:pPr>
      <w:r w:rsidRPr="00C96D3A">
        <w:rPr>
          <w:rFonts w:cstheme="minorHAnsi"/>
          <w:b/>
          <w:bCs/>
          <w:sz w:val="28"/>
          <w:szCs w:val="28"/>
        </w:rPr>
        <w:t>Industry Overview:</w:t>
      </w:r>
    </w:p>
    <w:p w14:paraId="6740C20E" w14:textId="73927D23" w:rsidR="00B518DA" w:rsidRPr="00A613A8" w:rsidRDefault="008C6E79" w:rsidP="00A613A8">
      <w:pPr>
        <w:spacing w:line="360" w:lineRule="auto"/>
        <w:rPr>
          <w:rFonts w:cstheme="minorHAnsi"/>
          <w:sz w:val="24"/>
          <w:szCs w:val="24"/>
        </w:rPr>
      </w:pPr>
      <w:r w:rsidRPr="00A613A8">
        <w:rPr>
          <w:rFonts w:cstheme="minorHAnsi"/>
          <w:sz w:val="24"/>
          <w:szCs w:val="24"/>
        </w:rPr>
        <w:t>Ramsay Health Care Ltd. (ASX: RHC) operates in the healthcare industry, specifically in the private hospital sector.</w:t>
      </w:r>
      <w:r w:rsidR="00851552" w:rsidRPr="00A613A8">
        <w:rPr>
          <w:rFonts w:cstheme="minorHAnsi"/>
          <w:sz w:val="24"/>
          <w:szCs w:val="24"/>
        </w:rPr>
        <w:t xml:space="preserve"> The healthcare industry is a significant sector with a vast financial landscape. </w:t>
      </w:r>
      <w:r w:rsidR="00B518DA" w:rsidRPr="00A613A8">
        <w:rPr>
          <w:rFonts w:cstheme="minorHAnsi"/>
          <w:sz w:val="24"/>
          <w:szCs w:val="24"/>
        </w:rPr>
        <w:t>The healthcare industry in Australia is poised for growth with a projected revenue of US$1,032.00 million in 2023, and an expected annual growth rate of 7.10% from 2023 to 2027​​. Here's a brief financial overview of the healthcare industry in Australia:</w:t>
      </w:r>
    </w:p>
    <w:p w14:paraId="4A0C2A32" w14:textId="34269210" w:rsidR="00B518DA" w:rsidRPr="009016E1" w:rsidRDefault="00B518DA" w:rsidP="009016E1">
      <w:pPr>
        <w:spacing w:line="360" w:lineRule="auto"/>
        <w:rPr>
          <w:rFonts w:cstheme="minorHAnsi"/>
          <w:b/>
          <w:bCs/>
          <w:sz w:val="24"/>
          <w:szCs w:val="24"/>
        </w:rPr>
      </w:pPr>
      <w:r w:rsidRPr="00A613A8">
        <w:rPr>
          <w:rFonts w:cstheme="minorHAnsi"/>
          <w:b/>
          <w:bCs/>
          <w:sz w:val="24"/>
          <w:szCs w:val="24"/>
        </w:rPr>
        <w:lastRenderedPageBreak/>
        <w:t xml:space="preserve">Market Size: </w:t>
      </w:r>
      <w:r w:rsidRPr="009016E1">
        <w:rPr>
          <w:rFonts w:cstheme="minorHAnsi"/>
          <w:sz w:val="24"/>
          <w:szCs w:val="24"/>
        </w:rPr>
        <w:t>The market size of the Health Services industry in Australia as of 2023 is estimated to be $202.4 billion, marking a 0.82% increase from the previous year​​.</w:t>
      </w:r>
    </w:p>
    <w:p w14:paraId="551BC949" w14:textId="7E504471" w:rsidR="00B518DA" w:rsidRPr="009016E1" w:rsidRDefault="00B518DA" w:rsidP="009016E1">
      <w:pPr>
        <w:spacing w:line="360" w:lineRule="auto"/>
        <w:rPr>
          <w:rFonts w:cstheme="minorHAnsi"/>
          <w:b/>
          <w:bCs/>
          <w:sz w:val="24"/>
          <w:szCs w:val="24"/>
        </w:rPr>
      </w:pPr>
      <w:r w:rsidRPr="00A613A8">
        <w:rPr>
          <w:rFonts w:cstheme="minorHAnsi"/>
          <w:b/>
          <w:bCs/>
          <w:sz w:val="24"/>
          <w:szCs w:val="24"/>
        </w:rPr>
        <w:t>Mergers and Acquisitions (M&amp;A):</w:t>
      </w:r>
      <w:r w:rsidR="009016E1">
        <w:rPr>
          <w:rFonts w:cstheme="minorHAnsi"/>
          <w:b/>
          <w:bCs/>
          <w:sz w:val="24"/>
          <w:szCs w:val="24"/>
        </w:rPr>
        <w:t xml:space="preserve"> </w:t>
      </w:r>
      <w:r w:rsidRPr="009016E1">
        <w:rPr>
          <w:rFonts w:cstheme="minorHAnsi"/>
          <w:sz w:val="24"/>
          <w:szCs w:val="24"/>
        </w:rPr>
        <w:t>In recent years, the M&amp;A activity in the healthcare sector witnessed a slight decrease in deal volumes (116 deals in 2022 compared to 129 in 2021), while the values dropped more substantially (US$1,855 million in 2022, versus US$5,213 million in 2021). The values and volumes are now more aligned to pre-COVID levels​​.</w:t>
      </w:r>
    </w:p>
    <w:p w14:paraId="6790EDB9" w14:textId="6B80EA53" w:rsidR="00C96D3A" w:rsidRPr="009016E1" w:rsidRDefault="00851552" w:rsidP="009016E1">
      <w:pPr>
        <w:spacing w:line="360" w:lineRule="auto"/>
        <w:rPr>
          <w:rFonts w:cstheme="minorHAnsi"/>
          <w:b/>
          <w:bCs/>
          <w:sz w:val="24"/>
          <w:szCs w:val="24"/>
        </w:rPr>
      </w:pPr>
      <w:r w:rsidRPr="00A613A8">
        <w:rPr>
          <w:rFonts w:cstheme="minorHAnsi"/>
          <w:b/>
          <w:bCs/>
          <w:sz w:val="24"/>
          <w:szCs w:val="24"/>
        </w:rPr>
        <w:t xml:space="preserve">Challenges: </w:t>
      </w:r>
      <w:r w:rsidR="009016E1">
        <w:rPr>
          <w:rFonts w:cstheme="minorHAnsi"/>
          <w:b/>
          <w:bCs/>
          <w:sz w:val="24"/>
          <w:szCs w:val="24"/>
        </w:rPr>
        <w:t xml:space="preserve"> </w:t>
      </w:r>
      <w:r w:rsidRPr="009016E1">
        <w:rPr>
          <w:rFonts w:cstheme="minorHAnsi"/>
          <w:sz w:val="24"/>
          <w:szCs w:val="24"/>
        </w:rPr>
        <w:t>Major challenges include staffing, inflation, affordability issues for patients, shrinking margins, and supply chain disruptions. Around 85% of health system leaders cited staffing challenges and 76% mentioned inflation as significant factors affecting their strategies for 2023​​</w:t>
      </w:r>
      <w:r w:rsidR="00C96D3A" w:rsidRPr="009016E1">
        <w:rPr>
          <w:rFonts w:cstheme="minorHAnsi"/>
          <w:sz w:val="24"/>
          <w:szCs w:val="24"/>
        </w:rPr>
        <w:t>.</w:t>
      </w:r>
    </w:p>
    <w:p w14:paraId="42C1A1A2" w14:textId="4C0169BF" w:rsidR="00851552" w:rsidRPr="009016E1" w:rsidRDefault="00851552" w:rsidP="009016E1">
      <w:pPr>
        <w:spacing w:line="360" w:lineRule="auto"/>
        <w:rPr>
          <w:rFonts w:cstheme="minorHAnsi"/>
          <w:sz w:val="24"/>
          <w:szCs w:val="24"/>
        </w:rPr>
      </w:pPr>
      <w:r w:rsidRPr="00C96D3A">
        <w:rPr>
          <w:rFonts w:cstheme="minorHAnsi"/>
          <w:b/>
          <w:bCs/>
          <w:sz w:val="24"/>
          <w:szCs w:val="24"/>
        </w:rPr>
        <w:t>Profitability Expectations:</w:t>
      </w:r>
      <w:r w:rsidR="009016E1">
        <w:rPr>
          <w:rFonts w:cstheme="minorHAnsi"/>
          <w:sz w:val="24"/>
          <w:szCs w:val="24"/>
        </w:rPr>
        <w:t xml:space="preserve"> </w:t>
      </w:r>
      <w:r w:rsidRPr="009016E1">
        <w:rPr>
          <w:rFonts w:cstheme="minorHAnsi"/>
          <w:sz w:val="24"/>
          <w:szCs w:val="24"/>
        </w:rPr>
        <w:t>Despite the challenges, industry leaders overwhelmingly expect a profitable 2023 for their companies, even as most anticipate a recession​.</w:t>
      </w:r>
    </w:p>
    <w:p w14:paraId="45E7F06E" w14:textId="77777777" w:rsidR="009016E1" w:rsidRDefault="00851552" w:rsidP="009016E1">
      <w:pPr>
        <w:spacing w:line="360" w:lineRule="auto"/>
        <w:rPr>
          <w:rFonts w:cstheme="minorHAnsi"/>
          <w:sz w:val="24"/>
          <w:szCs w:val="24"/>
        </w:rPr>
      </w:pPr>
      <w:r w:rsidRPr="00A613A8">
        <w:rPr>
          <w:rFonts w:cstheme="minorHAnsi"/>
          <w:b/>
          <w:bCs/>
          <w:sz w:val="24"/>
          <w:szCs w:val="24"/>
        </w:rPr>
        <w:t>Global Healthcare Market:</w:t>
      </w:r>
      <w:r w:rsidR="009016E1">
        <w:rPr>
          <w:rFonts w:cstheme="minorHAnsi"/>
          <w:sz w:val="24"/>
          <w:szCs w:val="24"/>
        </w:rPr>
        <w:t xml:space="preserve"> </w:t>
      </w:r>
      <w:r w:rsidRPr="009016E1">
        <w:rPr>
          <w:rFonts w:cstheme="minorHAnsi"/>
          <w:sz w:val="24"/>
          <w:szCs w:val="24"/>
        </w:rPr>
        <w:t>The global healthcare market is projected to reach $665.37 billion by 2028. In the US alone, the national healthcare expenditure was $4.3 trillion in 2021 and is estimated to reach $6.2 trillion by 2028​​.</w:t>
      </w:r>
    </w:p>
    <w:p w14:paraId="49E4FBA3" w14:textId="7F01D80A" w:rsidR="00B518DA" w:rsidRPr="009016E1" w:rsidRDefault="00B00058" w:rsidP="009016E1">
      <w:pPr>
        <w:spacing w:line="360" w:lineRule="auto"/>
        <w:rPr>
          <w:rFonts w:cstheme="minorHAnsi"/>
          <w:sz w:val="24"/>
          <w:szCs w:val="24"/>
        </w:rPr>
      </w:pPr>
      <w:r w:rsidRPr="00A613A8">
        <w:rPr>
          <w:rFonts w:cstheme="minorHAnsi"/>
          <w:b/>
          <w:bCs/>
          <w:sz w:val="24"/>
          <w:szCs w:val="24"/>
        </w:rPr>
        <w:t>Industry characteristics:</w:t>
      </w:r>
    </w:p>
    <w:p w14:paraId="3F15101C" w14:textId="77777777" w:rsidR="00B00058" w:rsidRPr="00A613A8" w:rsidRDefault="00B00058" w:rsidP="00A613A8">
      <w:pPr>
        <w:spacing w:line="360" w:lineRule="auto"/>
        <w:rPr>
          <w:rFonts w:cstheme="minorHAnsi"/>
          <w:sz w:val="24"/>
          <w:szCs w:val="24"/>
        </w:rPr>
      </w:pPr>
      <w:r w:rsidRPr="00A613A8">
        <w:rPr>
          <w:rFonts w:cstheme="minorHAnsi"/>
          <w:sz w:val="24"/>
          <w:szCs w:val="24"/>
        </w:rPr>
        <w:t>The healthcare industry is complex and presents unique challenges and considerations when it comes to financing and payout decisions. Here are some of the key industry characteristics that are relevant for these decisions:</w:t>
      </w:r>
    </w:p>
    <w:p w14:paraId="07380CA2" w14:textId="3178EE25" w:rsidR="00B00058" w:rsidRPr="00A613A8" w:rsidRDefault="00B00058" w:rsidP="00A613A8">
      <w:pPr>
        <w:pStyle w:val="ListParagraph"/>
        <w:numPr>
          <w:ilvl w:val="0"/>
          <w:numId w:val="17"/>
        </w:numPr>
        <w:spacing w:line="360" w:lineRule="auto"/>
        <w:rPr>
          <w:rFonts w:cstheme="minorHAnsi"/>
          <w:sz w:val="24"/>
          <w:szCs w:val="24"/>
        </w:rPr>
      </w:pPr>
      <w:r w:rsidRPr="00A613A8">
        <w:rPr>
          <w:rFonts w:cstheme="minorHAnsi"/>
          <w:b/>
          <w:bCs/>
          <w:sz w:val="24"/>
          <w:szCs w:val="24"/>
        </w:rPr>
        <w:t>Regulatory Environment:</w:t>
      </w:r>
      <w:r w:rsidRPr="00A613A8">
        <w:rPr>
          <w:rFonts w:cstheme="minorHAnsi"/>
          <w:sz w:val="24"/>
          <w:szCs w:val="24"/>
        </w:rPr>
        <w:t xml:space="preserve"> The healthcare industry is heavily regulated which impacts financing decisions. Compliance with various laws and regulations requires significant investment.</w:t>
      </w:r>
    </w:p>
    <w:p w14:paraId="07390E56" w14:textId="5A4E0EC8" w:rsidR="00B00058" w:rsidRPr="00A613A8" w:rsidRDefault="00B00058" w:rsidP="00A613A8">
      <w:pPr>
        <w:pStyle w:val="ListParagraph"/>
        <w:numPr>
          <w:ilvl w:val="0"/>
          <w:numId w:val="17"/>
        </w:numPr>
        <w:spacing w:line="360" w:lineRule="auto"/>
        <w:rPr>
          <w:rFonts w:cstheme="minorHAnsi"/>
          <w:sz w:val="24"/>
          <w:szCs w:val="24"/>
        </w:rPr>
      </w:pPr>
      <w:r w:rsidRPr="00A613A8">
        <w:rPr>
          <w:rFonts w:cstheme="minorHAnsi"/>
          <w:b/>
          <w:bCs/>
          <w:sz w:val="24"/>
          <w:szCs w:val="24"/>
        </w:rPr>
        <w:t>Capital Intensity:</w:t>
      </w:r>
      <w:r w:rsidRPr="00A613A8">
        <w:rPr>
          <w:rFonts w:cstheme="minorHAnsi"/>
          <w:sz w:val="24"/>
          <w:szCs w:val="24"/>
        </w:rPr>
        <w:t xml:space="preserve"> Healthcare is a capital-intensive industry requiring substantial investment in facilities, equipment, and technology. Access to capital is crucial for maintaining and upgrading infrastructure.</w:t>
      </w:r>
    </w:p>
    <w:p w14:paraId="5458F0A7" w14:textId="52611144" w:rsidR="00B00058" w:rsidRPr="00A613A8" w:rsidRDefault="00B00058" w:rsidP="00A613A8">
      <w:pPr>
        <w:pStyle w:val="ListParagraph"/>
        <w:numPr>
          <w:ilvl w:val="0"/>
          <w:numId w:val="17"/>
        </w:numPr>
        <w:spacing w:line="360" w:lineRule="auto"/>
        <w:rPr>
          <w:rFonts w:cstheme="minorHAnsi"/>
          <w:sz w:val="24"/>
          <w:szCs w:val="24"/>
        </w:rPr>
      </w:pPr>
      <w:r w:rsidRPr="00A613A8">
        <w:rPr>
          <w:rFonts w:cstheme="minorHAnsi"/>
          <w:b/>
          <w:bCs/>
          <w:sz w:val="24"/>
          <w:szCs w:val="24"/>
        </w:rPr>
        <w:lastRenderedPageBreak/>
        <w:t>Labor Costs:</w:t>
      </w:r>
      <w:r w:rsidRPr="00A613A8">
        <w:rPr>
          <w:rFonts w:cstheme="minorHAnsi"/>
          <w:sz w:val="24"/>
          <w:szCs w:val="24"/>
        </w:rPr>
        <w:t xml:space="preserve"> The healthcare industry is </w:t>
      </w:r>
      <w:r w:rsidR="002E5449" w:rsidRPr="00A613A8">
        <w:rPr>
          <w:rFonts w:cstheme="minorHAnsi"/>
          <w:sz w:val="24"/>
          <w:szCs w:val="24"/>
        </w:rPr>
        <w:t>labour-intensive</w:t>
      </w:r>
      <w:r w:rsidRPr="00A613A8">
        <w:rPr>
          <w:rFonts w:cstheme="minorHAnsi"/>
          <w:sz w:val="24"/>
          <w:szCs w:val="24"/>
        </w:rPr>
        <w:t xml:space="preserve"> with a significant portion of expenses allocated to clinical and administrative personnel.</w:t>
      </w:r>
    </w:p>
    <w:p w14:paraId="5061B774" w14:textId="77777777" w:rsidR="009016E1" w:rsidRDefault="00B00058" w:rsidP="009016E1">
      <w:pPr>
        <w:pStyle w:val="ListParagraph"/>
        <w:numPr>
          <w:ilvl w:val="0"/>
          <w:numId w:val="17"/>
        </w:numPr>
        <w:spacing w:line="360" w:lineRule="auto"/>
        <w:rPr>
          <w:rFonts w:cstheme="minorHAnsi"/>
          <w:sz w:val="24"/>
          <w:szCs w:val="24"/>
        </w:rPr>
      </w:pPr>
      <w:r w:rsidRPr="00A613A8">
        <w:rPr>
          <w:rFonts w:cstheme="minorHAnsi"/>
          <w:b/>
          <w:bCs/>
          <w:sz w:val="24"/>
          <w:szCs w:val="24"/>
        </w:rPr>
        <w:t>Patient Volume and Demographics:</w:t>
      </w:r>
      <w:r w:rsidRPr="00A613A8">
        <w:rPr>
          <w:rFonts w:cstheme="minorHAnsi"/>
          <w:sz w:val="24"/>
          <w:szCs w:val="24"/>
        </w:rPr>
        <w:t xml:space="preserve"> Patient volumes and the demographic profile of the patient population can impact revenue and thereby influence financing and payout decisions.</w:t>
      </w:r>
    </w:p>
    <w:p w14:paraId="06C1956F" w14:textId="77777777" w:rsidR="001F40E4" w:rsidRDefault="00B00058" w:rsidP="001F40E4">
      <w:pPr>
        <w:pStyle w:val="ListParagraph"/>
        <w:numPr>
          <w:ilvl w:val="0"/>
          <w:numId w:val="17"/>
        </w:numPr>
        <w:spacing w:line="360" w:lineRule="auto"/>
        <w:rPr>
          <w:rFonts w:cstheme="minorHAnsi"/>
          <w:sz w:val="24"/>
          <w:szCs w:val="24"/>
        </w:rPr>
      </w:pPr>
      <w:r w:rsidRPr="009016E1">
        <w:rPr>
          <w:rFonts w:cstheme="minorHAnsi"/>
          <w:b/>
          <w:bCs/>
          <w:sz w:val="24"/>
          <w:szCs w:val="24"/>
        </w:rPr>
        <w:t>Patient Satisfaction and Quality of Care:</w:t>
      </w:r>
      <w:r w:rsidRPr="009016E1">
        <w:rPr>
          <w:rFonts w:cstheme="minorHAnsi"/>
          <w:sz w:val="24"/>
          <w:szCs w:val="24"/>
        </w:rPr>
        <w:t xml:space="preserve"> Investments to improve patient satisfaction and quality of care can impact financial decisions, and positive outcomes can lead to higher reimbursements in certain reimbursement models.</w:t>
      </w:r>
    </w:p>
    <w:p w14:paraId="7F335F4D" w14:textId="1BBB97F7" w:rsidR="00AC3897" w:rsidRPr="001F40E4" w:rsidRDefault="00AC3897" w:rsidP="001F40E4">
      <w:pPr>
        <w:spacing w:line="360" w:lineRule="auto"/>
        <w:rPr>
          <w:rFonts w:cstheme="minorHAnsi"/>
          <w:sz w:val="24"/>
          <w:szCs w:val="24"/>
        </w:rPr>
      </w:pPr>
      <w:r w:rsidRPr="001F40E4">
        <w:rPr>
          <w:rFonts w:cstheme="minorHAnsi"/>
          <w:b/>
          <w:bCs/>
          <w:sz w:val="28"/>
          <w:szCs w:val="28"/>
        </w:rPr>
        <w:t>Company Overview:</w:t>
      </w:r>
    </w:p>
    <w:p w14:paraId="212EA289" w14:textId="75615CA3" w:rsidR="00AC3897" w:rsidRPr="00A613A8" w:rsidRDefault="00AC3897" w:rsidP="00A613A8">
      <w:pPr>
        <w:spacing w:line="360" w:lineRule="auto"/>
        <w:rPr>
          <w:rFonts w:cstheme="minorHAnsi"/>
          <w:sz w:val="24"/>
          <w:szCs w:val="24"/>
        </w:rPr>
      </w:pPr>
      <w:r w:rsidRPr="00A613A8">
        <w:rPr>
          <w:rFonts w:cstheme="minorHAnsi"/>
          <w:sz w:val="24"/>
          <w:szCs w:val="24"/>
        </w:rPr>
        <w:t>Ramsay Health Care Ltd. is a prominent healthcare service provider headquartered in Sydney, Australia. The company was established in 1964 by Paul Ramsay and has since grown into a multinational healthcare provider with a network of hospitals and day surgery facilities spanning across Australia, the United Kingdom, France, and Indonesia. Ramsay Health Care Ltd. operates under the ticker symbol RHC on the Australian Securities Exchange (ASX</w:t>
      </w:r>
      <w:r w:rsidR="00B2421E" w:rsidRPr="00A613A8">
        <w:rPr>
          <w:rFonts w:cstheme="minorHAnsi"/>
          <w:sz w:val="24"/>
          <w:szCs w:val="24"/>
        </w:rPr>
        <w:t>).</w:t>
      </w:r>
      <w:r w:rsidR="00B2421E">
        <w:rPr>
          <w:rFonts w:cstheme="minorHAnsi"/>
          <w:sz w:val="24"/>
          <w:szCs w:val="24"/>
        </w:rPr>
        <w:t xml:space="preserve"> Ramsey</w:t>
      </w:r>
      <w:r w:rsidR="00557CCB">
        <w:rPr>
          <w:rFonts w:cstheme="minorHAnsi"/>
          <w:sz w:val="24"/>
          <w:szCs w:val="24"/>
        </w:rPr>
        <w:t xml:space="preserve"> has a 3% market share in the Australian health services industry as of 2023.</w:t>
      </w:r>
    </w:p>
    <w:p w14:paraId="410A6210" w14:textId="7268B9F9" w:rsidR="00AC3897" w:rsidRPr="00A613A8" w:rsidRDefault="00AC3897" w:rsidP="00A613A8">
      <w:pPr>
        <w:spacing w:line="360" w:lineRule="auto"/>
        <w:rPr>
          <w:rFonts w:cstheme="minorHAnsi"/>
          <w:sz w:val="24"/>
          <w:szCs w:val="24"/>
        </w:rPr>
      </w:pPr>
      <w:r w:rsidRPr="00A613A8">
        <w:rPr>
          <w:rFonts w:cstheme="minorHAnsi"/>
          <w:sz w:val="24"/>
          <w:szCs w:val="24"/>
        </w:rPr>
        <w:t xml:space="preserve">The company's healthcare facilities cater to a wide range of medical needs from day surgery procedures to complex surgeries. They provide a broad spectrum of services including psychiatric care, rehabilitation, and a variety of medical specialties such as cardiology, neurology, </w:t>
      </w:r>
      <w:r w:rsidR="00330F9A" w:rsidRPr="00A613A8">
        <w:rPr>
          <w:rFonts w:cstheme="minorHAnsi"/>
          <w:sz w:val="24"/>
          <w:szCs w:val="24"/>
        </w:rPr>
        <w:t>orthopaedics</w:t>
      </w:r>
      <w:r w:rsidRPr="00A613A8">
        <w:rPr>
          <w:rFonts w:cstheme="minorHAnsi"/>
          <w:sz w:val="24"/>
          <w:szCs w:val="24"/>
        </w:rPr>
        <w:t xml:space="preserve">, and many more. </w:t>
      </w:r>
    </w:p>
    <w:p w14:paraId="0D7F025A" w14:textId="1117549F" w:rsidR="00AC3897" w:rsidRPr="00A613A8" w:rsidRDefault="00AC3897" w:rsidP="00A613A8">
      <w:pPr>
        <w:spacing w:line="360" w:lineRule="auto"/>
        <w:rPr>
          <w:rFonts w:cstheme="minorHAnsi"/>
          <w:sz w:val="24"/>
          <w:szCs w:val="24"/>
        </w:rPr>
      </w:pPr>
      <w:r w:rsidRPr="00A613A8">
        <w:rPr>
          <w:rFonts w:cstheme="minorHAnsi"/>
          <w:sz w:val="24"/>
          <w:szCs w:val="24"/>
        </w:rPr>
        <w:t xml:space="preserve">Financially, Ramsay Health Care Ltd. has shown resilience despite challenges. For instance, in 2023, it reported a revenue of </w:t>
      </w:r>
      <w:r w:rsidR="00177B72" w:rsidRPr="00A613A8">
        <w:rPr>
          <w:rFonts w:cstheme="minorHAnsi"/>
          <w:sz w:val="24"/>
          <w:szCs w:val="24"/>
        </w:rPr>
        <w:t>A</w:t>
      </w:r>
      <w:r w:rsidRPr="00A613A8">
        <w:rPr>
          <w:rFonts w:cstheme="minorHAnsi"/>
          <w:sz w:val="24"/>
          <w:szCs w:val="24"/>
        </w:rPr>
        <w:t>$1</w:t>
      </w:r>
      <w:r w:rsidR="00177B72" w:rsidRPr="00A613A8">
        <w:rPr>
          <w:rFonts w:cstheme="minorHAnsi"/>
          <w:sz w:val="24"/>
          <w:szCs w:val="24"/>
        </w:rPr>
        <w:t>4</w:t>
      </w:r>
      <w:r w:rsidRPr="00A613A8">
        <w:rPr>
          <w:rFonts w:cstheme="minorHAnsi"/>
          <w:sz w:val="24"/>
          <w:szCs w:val="24"/>
        </w:rPr>
        <w:t>.</w:t>
      </w:r>
      <w:r w:rsidR="00177B72" w:rsidRPr="00A613A8">
        <w:rPr>
          <w:rFonts w:cstheme="minorHAnsi"/>
          <w:sz w:val="24"/>
          <w:szCs w:val="24"/>
        </w:rPr>
        <w:t>86</w:t>
      </w:r>
      <w:r w:rsidRPr="00A613A8">
        <w:rPr>
          <w:rFonts w:cstheme="minorHAnsi"/>
          <w:sz w:val="24"/>
          <w:szCs w:val="24"/>
        </w:rPr>
        <w:t xml:space="preserve"> billion, according to </w:t>
      </w:r>
      <w:r w:rsidR="005850AB" w:rsidRPr="00A613A8">
        <w:rPr>
          <w:rFonts w:cstheme="minorHAnsi"/>
          <w:sz w:val="24"/>
          <w:szCs w:val="24"/>
        </w:rPr>
        <w:t>Morningstar</w:t>
      </w:r>
      <w:r w:rsidRPr="00A613A8">
        <w:rPr>
          <w:rFonts w:cstheme="minorHAnsi"/>
          <w:sz w:val="24"/>
          <w:szCs w:val="24"/>
        </w:rPr>
        <w:t>. However, it faced a downgrade in its Long-Term Issuer Default Rating (IDR) to 'BBB-', from 'BBB', as per Fitch Ratings, due to expectations of elevated leverage till at least FY26​​.</w:t>
      </w:r>
    </w:p>
    <w:p w14:paraId="07432B9A" w14:textId="350348E4" w:rsidR="006A0C83" w:rsidRPr="00A613A8" w:rsidRDefault="006A0C83" w:rsidP="00A613A8">
      <w:pPr>
        <w:spacing w:line="360" w:lineRule="auto"/>
        <w:rPr>
          <w:rFonts w:cstheme="minorHAnsi"/>
          <w:sz w:val="24"/>
          <w:szCs w:val="24"/>
        </w:rPr>
      </w:pPr>
      <w:r w:rsidRPr="00A613A8">
        <w:rPr>
          <w:rFonts w:cstheme="minorHAnsi"/>
          <w:sz w:val="24"/>
          <w:szCs w:val="24"/>
        </w:rPr>
        <w:t>The two peer companies we have chosen for the analysis are Sonic Healthcare Ltd</w:t>
      </w:r>
      <w:r w:rsidR="00A746B5" w:rsidRPr="00A613A8">
        <w:rPr>
          <w:rFonts w:cstheme="minorHAnsi"/>
          <w:sz w:val="24"/>
          <w:szCs w:val="24"/>
        </w:rPr>
        <w:t xml:space="preserve"> - SHL</w:t>
      </w:r>
      <w:r w:rsidRPr="00A613A8">
        <w:rPr>
          <w:rFonts w:cstheme="minorHAnsi"/>
          <w:sz w:val="24"/>
          <w:szCs w:val="24"/>
        </w:rPr>
        <w:t xml:space="preserve"> (ASX) and Chemed Corporation</w:t>
      </w:r>
      <w:r w:rsidR="00A746B5" w:rsidRPr="00A613A8">
        <w:rPr>
          <w:rFonts w:cstheme="minorHAnsi"/>
          <w:sz w:val="24"/>
          <w:szCs w:val="24"/>
        </w:rPr>
        <w:t xml:space="preserve"> - CHE</w:t>
      </w:r>
      <w:r w:rsidRPr="00A613A8">
        <w:rPr>
          <w:rFonts w:cstheme="minorHAnsi"/>
          <w:sz w:val="24"/>
          <w:szCs w:val="24"/>
        </w:rPr>
        <w:t xml:space="preserve"> (NYSE). Selection </w:t>
      </w:r>
      <w:r w:rsidRPr="00A613A8">
        <w:rPr>
          <w:rFonts w:cstheme="minorHAnsi"/>
          <w:sz w:val="24"/>
          <w:szCs w:val="24"/>
        </w:rPr>
        <w:lastRenderedPageBreak/>
        <w:t>of Sonic Healthcare Ltd and Chemed Corporation as peer firms for Ramsay Health Care Ltd can be justified based on several grounds:</w:t>
      </w:r>
    </w:p>
    <w:p w14:paraId="6654EEEE" w14:textId="27D9DB1F" w:rsidR="002E5449" w:rsidRPr="00A613A8" w:rsidRDefault="006A0C83" w:rsidP="00A613A8">
      <w:pPr>
        <w:pStyle w:val="ListParagraph"/>
        <w:numPr>
          <w:ilvl w:val="0"/>
          <w:numId w:val="18"/>
        </w:numPr>
        <w:spacing w:line="360" w:lineRule="auto"/>
        <w:rPr>
          <w:rFonts w:cstheme="minorHAnsi"/>
          <w:sz w:val="24"/>
          <w:szCs w:val="24"/>
        </w:rPr>
      </w:pPr>
      <w:r w:rsidRPr="00A613A8">
        <w:rPr>
          <w:rFonts w:cstheme="minorHAnsi"/>
          <w:b/>
          <w:bCs/>
          <w:sz w:val="24"/>
          <w:szCs w:val="24"/>
        </w:rPr>
        <w:t>Sector Similarity:</w:t>
      </w:r>
      <w:r w:rsidRPr="00A613A8">
        <w:rPr>
          <w:rFonts w:cstheme="minorHAnsi"/>
          <w:sz w:val="24"/>
          <w:szCs w:val="24"/>
        </w:rPr>
        <w:t xml:space="preserve"> All three companies operate within the healthcare sector, albeit with different specializations, providing a basis for comparative analysis.</w:t>
      </w:r>
    </w:p>
    <w:p w14:paraId="2D1C2524" w14:textId="4C8D3019" w:rsidR="005850AB" w:rsidRPr="00A613A8" w:rsidRDefault="005850AB" w:rsidP="00A613A8">
      <w:pPr>
        <w:pStyle w:val="ListParagraph"/>
        <w:numPr>
          <w:ilvl w:val="0"/>
          <w:numId w:val="18"/>
        </w:numPr>
        <w:spacing w:line="360" w:lineRule="auto"/>
        <w:rPr>
          <w:rFonts w:cstheme="minorHAnsi"/>
          <w:sz w:val="24"/>
          <w:szCs w:val="24"/>
        </w:rPr>
      </w:pPr>
      <w:r w:rsidRPr="00A613A8">
        <w:rPr>
          <w:rFonts w:cstheme="minorHAnsi"/>
          <w:b/>
          <w:bCs/>
          <w:sz w:val="24"/>
          <w:szCs w:val="24"/>
        </w:rPr>
        <w:t>Market Capitalization:</w:t>
      </w:r>
      <w:r w:rsidRPr="00A613A8">
        <w:rPr>
          <w:rFonts w:cstheme="minorHAnsi"/>
          <w:sz w:val="24"/>
          <w:szCs w:val="24"/>
        </w:rPr>
        <w:t xml:space="preserve"> The companies have comparable market capitalization which can be used for analysis as size of the firm can impact operations with economies of scale in picture.</w:t>
      </w:r>
    </w:p>
    <w:p w14:paraId="65CE74B1" w14:textId="5339EC08" w:rsidR="006A0C83" w:rsidRDefault="006A0C83" w:rsidP="00A613A8">
      <w:pPr>
        <w:pStyle w:val="ListParagraph"/>
        <w:numPr>
          <w:ilvl w:val="0"/>
          <w:numId w:val="18"/>
        </w:numPr>
        <w:spacing w:line="360" w:lineRule="auto"/>
        <w:rPr>
          <w:rFonts w:cstheme="minorHAnsi"/>
          <w:sz w:val="24"/>
          <w:szCs w:val="24"/>
        </w:rPr>
      </w:pPr>
      <w:r w:rsidRPr="00A613A8">
        <w:rPr>
          <w:rFonts w:cstheme="minorHAnsi"/>
          <w:b/>
          <w:bCs/>
          <w:sz w:val="24"/>
          <w:szCs w:val="24"/>
        </w:rPr>
        <w:t>Market Presence:</w:t>
      </w:r>
      <w:r w:rsidRPr="00A613A8">
        <w:rPr>
          <w:rFonts w:cstheme="minorHAnsi"/>
          <w:sz w:val="24"/>
          <w:szCs w:val="24"/>
        </w:rPr>
        <w:t xml:space="preserve"> Being significant players in their domains, the financial decisions of these companies can reflect larger industry trends. Analysing how each navigates financing and payout decisions can provide insights into different strategies and their outcomes in comparable market conditions.</w:t>
      </w:r>
    </w:p>
    <w:p w14:paraId="5BD2FD47" w14:textId="4D27EEFD" w:rsidR="00557CCB" w:rsidRPr="00A613A8" w:rsidRDefault="00557CCB" w:rsidP="00A613A8">
      <w:pPr>
        <w:pStyle w:val="ListParagraph"/>
        <w:numPr>
          <w:ilvl w:val="0"/>
          <w:numId w:val="18"/>
        </w:numPr>
        <w:spacing w:line="360" w:lineRule="auto"/>
        <w:rPr>
          <w:rFonts w:cstheme="minorHAnsi"/>
          <w:sz w:val="24"/>
          <w:szCs w:val="24"/>
        </w:rPr>
      </w:pPr>
      <w:r>
        <w:rPr>
          <w:rFonts w:cstheme="minorHAnsi"/>
          <w:b/>
          <w:bCs/>
          <w:sz w:val="24"/>
          <w:szCs w:val="24"/>
        </w:rPr>
        <w:t>Comparable Market Share:</w:t>
      </w:r>
      <w:r>
        <w:rPr>
          <w:rFonts w:cstheme="minorHAnsi"/>
          <w:sz w:val="24"/>
          <w:szCs w:val="24"/>
        </w:rPr>
        <w:t xml:space="preserve"> Sonic has a 2% market share in the Australian market compared to the 3% Ramsey does. Chemed has a similar market share in the American market.</w:t>
      </w:r>
    </w:p>
    <w:p w14:paraId="1A919957" w14:textId="424E854D" w:rsidR="004638B6" w:rsidRPr="00A613A8" w:rsidRDefault="006A0C83" w:rsidP="00A613A8">
      <w:pPr>
        <w:spacing w:line="360" w:lineRule="auto"/>
        <w:rPr>
          <w:rFonts w:cstheme="minorHAnsi"/>
          <w:sz w:val="24"/>
          <w:szCs w:val="24"/>
        </w:rPr>
      </w:pPr>
      <w:r w:rsidRPr="00A613A8">
        <w:rPr>
          <w:rFonts w:cstheme="minorHAnsi"/>
          <w:sz w:val="24"/>
          <w:szCs w:val="24"/>
        </w:rPr>
        <w:t>Comparing Ramsay with Sonic and Chemed can provide a nuanced understanding of financing and payout strategies within the diverse healthcare sector, helping to benchmark and analyse Ramsay's financial decisions in a broader context.</w:t>
      </w:r>
    </w:p>
    <w:p w14:paraId="4DD7210B" w14:textId="77777777" w:rsidR="00B2421E" w:rsidRDefault="00A746B5" w:rsidP="00A613A8">
      <w:pPr>
        <w:spacing w:line="360" w:lineRule="auto"/>
        <w:rPr>
          <w:rStyle w:val="description"/>
          <w:rFonts w:cstheme="minorHAnsi"/>
          <w:b/>
          <w:bCs/>
          <w:sz w:val="28"/>
          <w:szCs w:val="28"/>
        </w:rPr>
      </w:pPr>
      <w:r w:rsidRPr="00C96D3A">
        <w:rPr>
          <w:rStyle w:val="description"/>
          <w:rFonts w:cstheme="minorHAnsi"/>
          <w:b/>
          <w:bCs/>
          <w:sz w:val="28"/>
          <w:szCs w:val="28"/>
        </w:rPr>
        <w:t>Financing decisions:</w:t>
      </w:r>
    </w:p>
    <w:p w14:paraId="4A49D3AA" w14:textId="57147251" w:rsidR="00B2421E" w:rsidRPr="00B2421E" w:rsidRDefault="00A746B5" w:rsidP="00A613A8">
      <w:pPr>
        <w:spacing w:line="360" w:lineRule="auto"/>
        <w:rPr>
          <w:rStyle w:val="description"/>
          <w:rFonts w:cstheme="minorHAnsi"/>
          <w:b/>
          <w:bCs/>
          <w:sz w:val="28"/>
          <w:szCs w:val="28"/>
        </w:rPr>
      </w:pPr>
      <w:r w:rsidRPr="00A613A8">
        <w:rPr>
          <w:rStyle w:val="description"/>
          <w:rFonts w:cstheme="minorHAnsi"/>
          <w:sz w:val="24"/>
          <w:szCs w:val="24"/>
        </w:rPr>
        <w:t xml:space="preserve">We have used the 5 Year </w:t>
      </w:r>
      <w:r w:rsidR="00B2421E" w:rsidRPr="00A613A8">
        <w:rPr>
          <w:rStyle w:val="description"/>
          <w:rFonts w:cstheme="minorHAnsi"/>
          <w:sz w:val="24"/>
          <w:szCs w:val="24"/>
        </w:rPr>
        <w:t>average</w:t>
      </w:r>
      <w:r w:rsidR="00B2421E">
        <w:rPr>
          <w:rStyle w:val="description"/>
          <w:rFonts w:cstheme="minorHAnsi"/>
          <w:sz w:val="24"/>
          <w:szCs w:val="24"/>
        </w:rPr>
        <w:t xml:space="preserve"> trends</w:t>
      </w:r>
      <w:r w:rsidR="00557CCB">
        <w:rPr>
          <w:rStyle w:val="description"/>
          <w:rFonts w:cstheme="minorHAnsi"/>
          <w:sz w:val="24"/>
          <w:szCs w:val="24"/>
        </w:rPr>
        <w:t xml:space="preserve"> and year on year data</w:t>
      </w:r>
      <w:r w:rsidRPr="00A613A8">
        <w:rPr>
          <w:rStyle w:val="description"/>
          <w:rFonts w:cstheme="minorHAnsi"/>
          <w:sz w:val="24"/>
          <w:szCs w:val="24"/>
        </w:rPr>
        <w:t xml:space="preserve"> of various financial ratios to analyse the financing decisions of RHC and have compared them to the peer companies, SHL and CHE.</w:t>
      </w:r>
    </w:p>
    <w:p w14:paraId="27B480B7" w14:textId="57DF75FB" w:rsidR="00F33C41" w:rsidRPr="00A613A8" w:rsidRDefault="00A746B5" w:rsidP="001F40E4">
      <w:pPr>
        <w:spacing w:line="360" w:lineRule="auto"/>
        <w:rPr>
          <w:rFonts w:cstheme="minorHAnsi"/>
          <w:sz w:val="24"/>
          <w:szCs w:val="24"/>
        </w:rPr>
      </w:pPr>
      <w:r w:rsidRPr="00A613A8">
        <w:rPr>
          <w:rStyle w:val="description"/>
          <w:rFonts w:cstheme="minorHAnsi"/>
          <w:sz w:val="24"/>
          <w:szCs w:val="24"/>
        </w:rPr>
        <w:lastRenderedPageBreak/>
        <w:t>The ratios are as follows,</w:t>
      </w:r>
      <w:r w:rsidRPr="00A613A8">
        <w:rPr>
          <w:rStyle w:val="description"/>
          <w:rFonts w:cstheme="minorHAnsi"/>
          <w:sz w:val="24"/>
          <w:szCs w:val="24"/>
        </w:rPr>
        <w:br/>
      </w:r>
      <w:r w:rsidRPr="00A613A8">
        <w:rPr>
          <w:rFonts w:cstheme="minorHAnsi"/>
          <w:sz w:val="24"/>
          <w:szCs w:val="24"/>
        </w:rPr>
        <w:t xml:space="preserve">                                       </w:t>
      </w:r>
      <w:r w:rsidRPr="00A613A8">
        <w:rPr>
          <w:rFonts w:cstheme="minorHAnsi"/>
          <w:noProof/>
          <w:sz w:val="24"/>
          <w:szCs w:val="24"/>
        </w:rPr>
        <w:drawing>
          <wp:inline distT="0" distB="0" distL="0" distR="0" wp14:anchorId="5E0B0C4A" wp14:editId="475AAA4F">
            <wp:extent cx="3274337" cy="2066925"/>
            <wp:effectExtent l="0" t="0" r="2540" b="0"/>
            <wp:docPr id="2068376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701" cy="2077886"/>
                    </a:xfrm>
                    <a:prstGeom prst="rect">
                      <a:avLst/>
                    </a:prstGeom>
                    <a:noFill/>
                    <a:ln>
                      <a:noFill/>
                    </a:ln>
                  </pic:spPr>
                </pic:pic>
              </a:graphicData>
            </a:graphic>
          </wp:inline>
        </w:drawing>
      </w:r>
      <w:r w:rsidR="00F33C41">
        <w:rPr>
          <w:rFonts w:cstheme="minorHAnsi"/>
          <w:sz w:val="24"/>
          <w:szCs w:val="24"/>
        </w:rPr>
        <w:t xml:space="preserve">     </w:t>
      </w:r>
    </w:p>
    <w:p w14:paraId="0DBFE4B3" w14:textId="77777777" w:rsidR="009016E1" w:rsidRDefault="00A746B5" w:rsidP="009016E1">
      <w:pPr>
        <w:spacing w:line="360" w:lineRule="auto"/>
        <w:rPr>
          <w:rFonts w:cstheme="minorHAnsi"/>
          <w:sz w:val="24"/>
          <w:szCs w:val="24"/>
        </w:rPr>
      </w:pPr>
      <w:r w:rsidRPr="00A613A8">
        <w:rPr>
          <w:rFonts w:cstheme="minorHAnsi"/>
          <w:sz w:val="24"/>
          <w:szCs w:val="24"/>
        </w:rPr>
        <w:t>Using the 5-year average ratios we obtained, we analysed the financing decisions made by RHC (Ramsay Health Care Limited) and compared them with industry peers SHL and CHE. The inferences are as follows,</w:t>
      </w:r>
    </w:p>
    <w:p w14:paraId="3E5F1EA7" w14:textId="7E6BAAF2" w:rsidR="001F40E4" w:rsidRDefault="001F40E4" w:rsidP="009016E1">
      <w:pPr>
        <w:spacing w:line="360" w:lineRule="auto"/>
        <w:rPr>
          <w:rFonts w:cstheme="minorHAnsi"/>
          <w:b/>
          <w:bCs/>
          <w:sz w:val="24"/>
          <w:szCs w:val="24"/>
        </w:rPr>
      </w:pPr>
      <w:r>
        <w:rPr>
          <w:rFonts w:cstheme="minorHAnsi"/>
          <w:b/>
          <w:bCs/>
          <w:sz w:val="24"/>
          <w:szCs w:val="24"/>
        </w:rPr>
        <w:t xml:space="preserve">                                       </w:t>
      </w:r>
      <w:r>
        <w:rPr>
          <w:noProof/>
        </w:rPr>
        <w:drawing>
          <wp:inline distT="0" distB="0" distL="0" distR="0" wp14:anchorId="293F6EB0" wp14:editId="2B65C0C1">
            <wp:extent cx="3269889" cy="2124075"/>
            <wp:effectExtent l="0" t="0" r="6985" b="0"/>
            <wp:docPr id="242585575" name="Picture 1" descr="A graph of numbers and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85575" name="Picture 1" descr="A graph of numbers and a number of number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9734" cy="2143462"/>
                    </a:xfrm>
                    <a:prstGeom prst="rect">
                      <a:avLst/>
                    </a:prstGeom>
                    <a:noFill/>
                    <a:ln>
                      <a:noFill/>
                    </a:ln>
                  </pic:spPr>
                </pic:pic>
              </a:graphicData>
            </a:graphic>
          </wp:inline>
        </w:drawing>
      </w:r>
    </w:p>
    <w:p w14:paraId="6E873DBB" w14:textId="09E96FC8" w:rsidR="00C96D3A" w:rsidRPr="00F33C41" w:rsidRDefault="00A746B5" w:rsidP="00F33C41">
      <w:pPr>
        <w:spacing w:line="360" w:lineRule="auto"/>
        <w:rPr>
          <w:rFonts w:cstheme="minorHAnsi"/>
          <w:b/>
          <w:bCs/>
          <w:sz w:val="24"/>
          <w:szCs w:val="24"/>
        </w:rPr>
      </w:pPr>
      <w:r w:rsidRPr="00A613A8">
        <w:rPr>
          <w:rFonts w:cstheme="minorHAnsi"/>
          <w:b/>
          <w:bCs/>
          <w:sz w:val="24"/>
          <w:szCs w:val="24"/>
        </w:rPr>
        <w:t>1. Interest Coverage Ratio:</w:t>
      </w:r>
      <w:r w:rsidR="00F33C41">
        <w:rPr>
          <w:rFonts w:cstheme="minorHAnsi"/>
          <w:b/>
          <w:bCs/>
          <w:sz w:val="24"/>
          <w:szCs w:val="24"/>
        </w:rPr>
        <w:t xml:space="preserve"> </w:t>
      </w:r>
      <w:r w:rsidRPr="00F33C41">
        <w:rPr>
          <w:rFonts w:cstheme="minorHAnsi"/>
          <w:sz w:val="24"/>
          <w:szCs w:val="24"/>
        </w:rPr>
        <w:t xml:space="preserve">Indicates that RHC has just under twice the operating profit needed to cover its interest expenses. This is a relatively lower cushion, indicating higher financial </w:t>
      </w:r>
      <w:r w:rsidR="00557CCB" w:rsidRPr="00F33C41">
        <w:rPr>
          <w:rFonts w:cstheme="minorHAnsi"/>
          <w:sz w:val="24"/>
          <w:szCs w:val="24"/>
        </w:rPr>
        <w:t xml:space="preserve">risk. </w:t>
      </w:r>
      <w:r w:rsidR="004522F0" w:rsidRPr="00F33C41">
        <w:rPr>
          <w:rFonts w:cstheme="minorHAnsi"/>
          <w:sz w:val="24"/>
          <w:szCs w:val="24"/>
        </w:rPr>
        <w:t>SHL &amp; CHE</w:t>
      </w:r>
      <w:r w:rsidR="00557CCB" w:rsidRPr="00F33C41">
        <w:rPr>
          <w:rFonts w:cstheme="minorHAnsi"/>
          <w:sz w:val="24"/>
          <w:szCs w:val="24"/>
        </w:rPr>
        <w:t>,</w:t>
      </w:r>
      <w:r w:rsidRPr="00F33C41">
        <w:rPr>
          <w:rFonts w:cstheme="minorHAnsi"/>
          <w:sz w:val="24"/>
          <w:szCs w:val="24"/>
        </w:rPr>
        <w:t xml:space="preserve"> </w:t>
      </w:r>
      <w:r w:rsidR="00557CCB" w:rsidRPr="00F33C41">
        <w:rPr>
          <w:rFonts w:cstheme="minorHAnsi"/>
          <w:sz w:val="24"/>
          <w:szCs w:val="24"/>
        </w:rPr>
        <w:t>b</w:t>
      </w:r>
      <w:r w:rsidRPr="00F33C41">
        <w:rPr>
          <w:rFonts w:cstheme="minorHAnsi"/>
          <w:sz w:val="24"/>
          <w:szCs w:val="24"/>
        </w:rPr>
        <w:t>oth these companies have significantly higher interest coverage ratios</w:t>
      </w:r>
      <w:r w:rsidR="00F33C41">
        <w:rPr>
          <w:rFonts w:cstheme="minorHAnsi"/>
          <w:sz w:val="24"/>
          <w:szCs w:val="24"/>
        </w:rPr>
        <w:t>.</w:t>
      </w:r>
    </w:p>
    <w:p w14:paraId="4945EE80" w14:textId="263C89E8" w:rsidR="00A746B5" w:rsidRPr="00F33C41" w:rsidRDefault="00A746B5" w:rsidP="00F33C41">
      <w:pPr>
        <w:spacing w:line="360" w:lineRule="auto"/>
        <w:rPr>
          <w:rFonts w:cstheme="minorHAnsi"/>
          <w:b/>
          <w:bCs/>
          <w:sz w:val="24"/>
          <w:szCs w:val="24"/>
        </w:rPr>
      </w:pPr>
      <w:r w:rsidRPr="00A613A8">
        <w:rPr>
          <w:rFonts w:cstheme="minorHAnsi"/>
          <w:b/>
          <w:bCs/>
          <w:sz w:val="24"/>
          <w:szCs w:val="24"/>
        </w:rPr>
        <w:t>2. Net Debt/EBITDA:</w:t>
      </w:r>
      <w:r w:rsidR="00F33C41">
        <w:rPr>
          <w:rFonts w:cstheme="minorHAnsi"/>
          <w:b/>
          <w:bCs/>
          <w:sz w:val="24"/>
          <w:szCs w:val="24"/>
        </w:rPr>
        <w:t xml:space="preserve"> </w:t>
      </w:r>
      <w:r w:rsidR="00F33C41">
        <w:rPr>
          <w:rFonts w:cstheme="minorHAnsi"/>
          <w:sz w:val="24"/>
          <w:szCs w:val="24"/>
        </w:rPr>
        <w:t>RHC</w:t>
      </w:r>
      <w:r w:rsidRPr="00F33C41">
        <w:rPr>
          <w:rFonts w:cstheme="minorHAnsi"/>
          <w:sz w:val="24"/>
          <w:szCs w:val="24"/>
        </w:rPr>
        <w:t xml:space="preserve"> has a net debt that is a bit over 6 times its EBITDA. This implies a high leverage situation, where the company may find it challenging to pay off its </w:t>
      </w:r>
      <w:r w:rsidR="00557CCB" w:rsidRPr="00F33C41">
        <w:rPr>
          <w:rFonts w:cstheme="minorHAnsi"/>
          <w:sz w:val="24"/>
          <w:szCs w:val="24"/>
        </w:rPr>
        <w:t>debts’.</w:t>
      </w:r>
      <w:r w:rsidR="00F33C41">
        <w:rPr>
          <w:rFonts w:cstheme="minorHAnsi"/>
          <w:sz w:val="24"/>
          <w:szCs w:val="24"/>
        </w:rPr>
        <w:t xml:space="preserve"> For </w:t>
      </w:r>
      <w:r w:rsidR="00557CCB" w:rsidRPr="00F33C41">
        <w:rPr>
          <w:rFonts w:cstheme="minorHAnsi"/>
          <w:sz w:val="24"/>
          <w:szCs w:val="24"/>
        </w:rPr>
        <w:t xml:space="preserve">SHL </w:t>
      </w:r>
      <w:r w:rsidRPr="00F33C41">
        <w:rPr>
          <w:rFonts w:cstheme="minorHAnsi"/>
          <w:sz w:val="24"/>
          <w:szCs w:val="24"/>
        </w:rPr>
        <w:t>&amp; CHE</w:t>
      </w:r>
      <w:r w:rsidR="00F33C41">
        <w:rPr>
          <w:rFonts w:cstheme="minorHAnsi"/>
          <w:sz w:val="24"/>
          <w:szCs w:val="24"/>
        </w:rPr>
        <w:t>,</w:t>
      </w:r>
      <w:r w:rsidRPr="00F33C41">
        <w:rPr>
          <w:rFonts w:cstheme="minorHAnsi"/>
          <w:sz w:val="24"/>
          <w:szCs w:val="24"/>
        </w:rPr>
        <w:t xml:space="preserve"> </w:t>
      </w:r>
      <w:r w:rsidR="00F33C41">
        <w:rPr>
          <w:rFonts w:cstheme="minorHAnsi"/>
          <w:sz w:val="24"/>
          <w:szCs w:val="24"/>
        </w:rPr>
        <w:t>t</w:t>
      </w:r>
      <w:r w:rsidRPr="00F33C41">
        <w:rPr>
          <w:rFonts w:cstheme="minorHAnsi"/>
          <w:sz w:val="24"/>
          <w:szCs w:val="24"/>
        </w:rPr>
        <w:t>hese ratios show that SHL and CHE have much lower net debt relative to their EBITDA, indicating stronger financial health and lower leverage.</w:t>
      </w:r>
    </w:p>
    <w:p w14:paraId="742DC37A" w14:textId="12047C37" w:rsidR="00A746B5" w:rsidRPr="00F33C41" w:rsidRDefault="00A746B5" w:rsidP="00F33C41">
      <w:pPr>
        <w:spacing w:line="360" w:lineRule="auto"/>
        <w:rPr>
          <w:rFonts w:cstheme="minorHAnsi"/>
          <w:b/>
          <w:bCs/>
          <w:sz w:val="24"/>
          <w:szCs w:val="24"/>
        </w:rPr>
      </w:pPr>
      <w:r w:rsidRPr="00A613A8">
        <w:rPr>
          <w:rFonts w:cstheme="minorHAnsi"/>
          <w:b/>
          <w:bCs/>
          <w:sz w:val="24"/>
          <w:szCs w:val="24"/>
        </w:rPr>
        <w:lastRenderedPageBreak/>
        <w:t>3. Debt to Asset:</w:t>
      </w:r>
      <w:r w:rsidR="00F33C41">
        <w:rPr>
          <w:rFonts w:cstheme="minorHAnsi"/>
          <w:b/>
          <w:bCs/>
          <w:sz w:val="24"/>
          <w:szCs w:val="24"/>
        </w:rPr>
        <w:t xml:space="preserve"> </w:t>
      </w:r>
      <w:r w:rsidRPr="00F33C41">
        <w:rPr>
          <w:rFonts w:cstheme="minorHAnsi"/>
          <w:sz w:val="24"/>
          <w:szCs w:val="24"/>
        </w:rPr>
        <w:t>Over half of RHC's assets are financed by debt.</w:t>
      </w:r>
      <w:r w:rsidR="00F33C41">
        <w:rPr>
          <w:rFonts w:cstheme="minorHAnsi"/>
          <w:sz w:val="24"/>
          <w:szCs w:val="24"/>
        </w:rPr>
        <w:t xml:space="preserve"> </w:t>
      </w:r>
      <w:r w:rsidRPr="00F33C41">
        <w:rPr>
          <w:rFonts w:cstheme="minorHAnsi"/>
          <w:sz w:val="24"/>
          <w:szCs w:val="24"/>
        </w:rPr>
        <w:t>SHL and CHE have significantly lower debt-to-asset ratios, suggesting they rely less on external financing.</w:t>
      </w:r>
    </w:p>
    <w:p w14:paraId="1208CA5E" w14:textId="05A501A3" w:rsidR="00A613A8" w:rsidRPr="00F33C41" w:rsidRDefault="00A746B5" w:rsidP="00F33C41">
      <w:pPr>
        <w:spacing w:line="360" w:lineRule="auto"/>
        <w:rPr>
          <w:rFonts w:cstheme="minorHAnsi"/>
          <w:b/>
          <w:bCs/>
          <w:sz w:val="24"/>
          <w:szCs w:val="24"/>
        </w:rPr>
      </w:pPr>
      <w:r w:rsidRPr="00A613A8">
        <w:rPr>
          <w:rFonts w:cstheme="minorHAnsi"/>
          <w:b/>
          <w:bCs/>
          <w:sz w:val="24"/>
          <w:szCs w:val="24"/>
        </w:rPr>
        <w:t>4. Net Debt to Capital:</w:t>
      </w:r>
      <w:r w:rsidR="00F33C41">
        <w:rPr>
          <w:rFonts w:cstheme="minorHAnsi"/>
          <w:b/>
          <w:bCs/>
          <w:sz w:val="24"/>
          <w:szCs w:val="24"/>
        </w:rPr>
        <w:t xml:space="preserve"> </w:t>
      </w:r>
      <w:r w:rsidRPr="00F33C41">
        <w:rPr>
          <w:rFonts w:cstheme="minorHAnsi"/>
          <w:sz w:val="24"/>
          <w:szCs w:val="24"/>
        </w:rPr>
        <w:t xml:space="preserve">More than 60% of </w:t>
      </w:r>
      <w:r w:rsidR="00F33C41">
        <w:rPr>
          <w:rFonts w:cstheme="minorHAnsi"/>
          <w:sz w:val="24"/>
          <w:szCs w:val="24"/>
        </w:rPr>
        <w:t>RHC’</w:t>
      </w:r>
      <w:r w:rsidRPr="00F33C41">
        <w:rPr>
          <w:rFonts w:cstheme="minorHAnsi"/>
          <w:sz w:val="24"/>
          <w:szCs w:val="24"/>
        </w:rPr>
        <w:t>s capital structure is in the form of net debt.</w:t>
      </w:r>
      <w:r w:rsidR="00B2421E" w:rsidRPr="00F33C41">
        <w:rPr>
          <w:rFonts w:cstheme="minorHAnsi"/>
          <w:sz w:val="24"/>
          <w:szCs w:val="24"/>
        </w:rPr>
        <w:t xml:space="preserve"> </w:t>
      </w:r>
      <w:r w:rsidRPr="00F33C41">
        <w:rPr>
          <w:rFonts w:cstheme="minorHAnsi"/>
          <w:sz w:val="24"/>
          <w:szCs w:val="24"/>
        </w:rPr>
        <w:t>Both peers have a lower dependence on debt in their capital structure, indicating a more conservative financing approach.</w:t>
      </w:r>
    </w:p>
    <w:p w14:paraId="182911D1" w14:textId="013D1686" w:rsidR="00A746B5" w:rsidRPr="00F33C41" w:rsidRDefault="00A746B5" w:rsidP="00F33C41">
      <w:pPr>
        <w:spacing w:line="360" w:lineRule="auto"/>
        <w:rPr>
          <w:rFonts w:cstheme="minorHAnsi"/>
          <w:b/>
          <w:bCs/>
          <w:sz w:val="24"/>
          <w:szCs w:val="24"/>
        </w:rPr>
      </w:pPr>
      <w:r w:rsidRPr="00A613A8">
        <w:rPr>
          <w:rFonts w:cstheme="minorHAnsi"/>
          <w:b/>
          <w:bCs/>
          <w:sz w:val="24"/>
          <w:szCs w:val="24"/>
        </w:rPr>
        <w:t>5. Debt/Equity:</w:t>
      </w:r>
      <w:r w:rsidR="00F33C41">
        <w:rPr>
          <w:rFonts w:cstheme="minorHAnsi"/>
          <w:b/>
          <w:bCs/>
          <w:sz w:val="24"/>
          <w:szCs w:val="24"/>
        </w:rPr>
        <w:t xml:space="preserve"> </w:t>
      </w:r>
      <w:r w:rsidRPr="00F33C41">
        <w:rPr>
          <w:rFonts w:cstheme="minorHAnsi"/>
          <w:sz w:val="24"/>
          <w:szCs w:val="24"/>
        </w:rPr>
        <w:t>RHC has a very high debt relative to its equity. This suggests that the company is highly leveraged and might be riskier from a financing standpoint.</w:t>
      </w:r>
      <w:r w:rsidR="00F33C41">
        <w:rPr>
          <w:rFonts w:cstheme="minorHAnsi"/>
          <w:sz w:val="24"/>
          <w:szCs w:val="24"/>
        </w:rPr>
        <w:t xml:space="preserve"> </w:t>
      </w:r>
      <w:r w:rsidRPr="00F33C41">
        <w:rPr>
          <w:rFonts w:cstheme="minorHAnsi"/>
          <w:sz w:val="24"/>
          <w:szCs w:val="24"/>
        </w:rPr>
        <w:t>Both the</w:t>
      </w:r>
      <w:r w:rsidR="00F33C41">
        <w:rPr>
          <w:rFonts w:cstheme="minorHAnsi"/>
          <w:sz w:val="24"/>
          <w:szCs w:val="24"/>
        </w:rPr>
        <w:t xml:space="preserve"> peer</w:t>
      </w:r>
      <w:r w:rsidRPr="00F33C41">
        <w:rPr>
          <w:rFonts w:cstheme="minorHAnsi"/>
          <w:sz w:val="24"/>
          <w:szCs w:val="24"/>
        </w:rPr>
        <w:t xml:space="preserve"> companies have much lower debt-to-equity ratios, suggesting a more balanced approach between debt and equity financing.</w:t>
      </w:r>
    </w:p>
    <w:p w14:paraId="52ED49C4" w14:textId="5EB54F05" w:rsidR="00C96D3A" w:rsidRPr="00F33C41" w:rsidRDefault="00A746B5" w:rsidP="00F33C41">
      <w:pPr>
        <w:spacing w:line="360" w:lineRule="auto"/>
        <w:rPr>
          <w:rFonts w:cstheme="minorHAnsi"/>
          <w:b/>
          <w:bCs/>
          <w:sz w:val="24"/>
          <w:szCs w:val="24"/>
        </w:rPr>
      </w:pPr>
      <w:r w:rsidRPr="00A613A8">
        <w:rPr>
          <w:rFonts w:cstheme="minorHAnsi"/>
          <w:b/>
          <w:bCs/>
          <w:sz w:val="24"/>
          <w:szCs w:val="24"/>
        </w:rPr>
        <w:t>6. Return on Equity (ROE):</w:t>
      </w:r>
      <w:r w:rsidR="00F33C41">
        <w:rPr>
          <w:rFonts w:cstheme="minorHAnsi"/>
          <w:b/>
          <w:bCs/>
          <w:sz w:val="24"/>
          <w:szCs w:val="24"/>
        </w:rPr>
        <w:t xml:space="preserve"> </w:t>
      </w:r>
      <w:r w:rsidRPr="00F33C41">
        <w:rPr>
          <w:rFonts w:cstheme="minorHAnsi"/>
          <w:sz w:val="24"/>
          <w:szCs w:val="24"/>
        </w:rPr>
        <w:t>RHC</w:t>
      </w:r>
      <w:r w:rsidR="00F33C41">
        <w:rPr>
          <w:rFonts w:cstheme="minorHAnsi"/>
          <w:sz w:val="24"/>
          <w:szCs w:val="24"/>
        </w:rPr>
        <w:t xml:space="preserve">’s </w:t>
      </w:r>
      <w:r w:rsidRPr="00F33C41">
        <w:rPr>
          <w:rFonts w:cstheme="minorHAnsi"/>
          <w:sz w:val="24"/>
          <w:szCs w:val="24"/>
        </w:rPr>
        <w:t>ROE suggests that for every dollar of equity, RHC generated an 11.32% return.</w:t>
      </w:r>
      <w:r w:rsidR="00F33C41">
        <w:rPr>
          <w:rFonts w:cstheme="minorHAnsi"/>
          <w:sz w:val="24"/>
          <w:szCs w:val="24"/>
        </w:rPr>
        <w:t xml:space="preserve"> </w:t>
      </w:r>
      <w:r w:rsidRPr="00F33C41">
        <w:rPr>
          <w:rFonts w:cstheme="minorHAnsi"/>
          <w:sz w:val="24"/>
          <w:szCs w:val="24"/>
        </w:rPr>
        <w:t>Both peers have higher ROEs, indicating they are more efficient in generating profit from their equity.</w:t>
      </w:r>
    </w:p>
    <w:p w14:paraId="007A3972" w14:textId="18C598A6" w:rsidR="00A746B5" w:rsidRPr="00F33C41" w:rsidRDefault="00A746B5" w:rsidP="00F33C41">
      <w:pPr>
        <w:spacing w:line="360" w:lineRule="auto"/>
        <w:rPr>
          <w:rFonts w:cstheme="minorHAnsi"/>
          <w:sz w:val="24"/>
          <w:szCs w:val="24"/>
        </w:rPr>
      </w:pPr>
      <w:r w:rsidRPr="00C96D3A">
        <w:rPr>
          <w:rFonts w:cstheme="minorHAnsi"/>
          <w:b/>
          <w:bCs/>
          <w:sz w:val="24"/>
          <w:szCs w:val="24"/>
        </w:rPr>
        <w:t>7. Return on Capital (ROC):</w:t>
      </w:r>
      <w:r w:rsidR="00F33C41">
        <w:rPr>
          <w:rFonts w:cstheme="minorHAnsi"/>
          <w:sz w:val="24"/>
          <w:szCs w:val="24"/>
        </w:rPr>
        <w:t xml:space="preserve"> </w:t>
      </w:r>
      <w:r w:rsidRPr="00F33C41">
        <w:rPr>
          <w:rFonts w:cstheme="minorHAnsi"/>
          <w:sz w:val="24"/>
          <w:szCs w:val="24"/>
        </w:rPr>
        <w:t>RHC's return on capital is relatively low, indicating that the company may not be efficiently using its capital to generate returns.</w:t>
      </w:r>
      <w:r w:rsidR="00F33C41">
        <w:rPr>
          <w:rFonts w:cstheme="minorHAnsi"/>
          <w:sz w:val="24"/>
          <w:szCs w:val="24"/>
        </w:rPr>
        <w:t xml:space="preserve"> </w:t>
      </w:r>
      <w:r w:rsidRPr="00F33C41">
        <w:rPr>
          <w:rFonts w:cstheme="minorHAnsi"/>
          <w:sz w:val="24"/>
          <w:szCs w:val="24"/>
        </w:rPr>
        <w:t>Both SHL and CHE demonstrate significantly higher ROCs, suggesting better utilization of capital.</w:t>
      </w:r>
    </w:p>
    <w:p w14:paraId="02C530A1" w14:textId="04278032" w:rsidR="00A746B5" w:rsidRPr="00A613A8" w:rsidRDefault="00A746B5" w:rsidP="00A613A8">
      <w:pPr>
        <w:spacing w:line="360" w:lineRule="auto"/>
        <w:rPr>
          <w:rFonts w:cstheme="minorHAnsi"/>
          <w:sz w:val="24"/>
          <w:szCs w:val="24"/>
        </w:rPr>
      </w:pPr>
      <w:r w:rsidRPr="00A613A8">
        <w:rPr>
          <w:rFonts w:cstheme="minorHAnsi"/>
          <w:sz w:val="24"/>
          <w:szCs w:val="24"/>
        </w:rPr>
        <w:t xml:space="preserve">Over the past 5 years, RHC </w:t>
      </w:r>
      <w:r w:rsidR="00B2421E">
        <w:rPr>
          <w:rFonts w:cstheme="minorHAnsi"/>
          <w:sz w:val="24"/>
          <w:szCs w:val="24"/>
        </w:rPr>
        <w:t>has had a</w:t>
      </w:r>
      <w:r w:rsidRPr="00A613A8">
        <w:rPr>
          <w:rFonts w:cstheme="minorHAnsi"/>
          <w:sz w:val="24"/>
          <w:szCs w:val="24"/>
        </w:rPr>
        <w:t xml:space="preserve"> financing strategy </w:t>
      </w:r>
      <w:r w:rsidR="00B2421E">
        <w:rPr>
          <w:rFonts w:cstheme="minorHAnsi"/>
          <w:sz w:val="24"/>
          <w:szCs w:val="24"/>
        </w:rPr>
        <w:t xml:space="preserve">that is reliant on debt </w:t>
      </w:r>
      <w:r w:rsidRPr="00A613A8">
        <w:rPr>
          <w:rFonts w:cstheme="minorHAnsi"/>
          <w:sz w:val="24"/>
          <w:szCs w:val="24"/>
        </w:rPr>
        <w:t xml:space="preserve">compared to its peers. </w:t>
      </w:r>
      <w:r w:rsidR="00B2421E">
        <w:rPr>
          <w:rFonts w:cstheme="minorHAnsi"/>
          <w:sz w:val="24"/>
          <w:szCs w:val="24"/>
        </w:rPr>
        <w:t xml:space="preserve">This contrasts with the pecking order theory where managers prefer to finance using net income and equity prior to date. </w:t>
      </w:r>
      <w:r w:rsidRPr="00A613A8">
        <w:rPr>
          <w:rFonts w:cstheme="minorHAnsi"/>
          <w:sz w:val="24"/>
          <w:szCs w:val="24"/>
        </w:rPr>
        <w:t>It has a higher dependence on debt as evidenced by most of its ratios, especially the debt/equity ratio. This can be a sign of either growth ambitions</w:t>
      </w:r>
      <w:r w:rsidR="00B2421E">
        <w:rPr>
          <w:rFonts w:cstheme="minorHAnsi"/>
          <w:sz w:val="24"/>
          <w:szCs w:val="24"/>
        </w:rPr>
        <w:t>, low interest rates on some of its loans</w:t>
      </w:r>
      <w:r w:rsidRPr="00A613A8">
        <w:rPr>
          <w:rFonts w:cstheme="minorHAnsi"/>
          <w:sz w:val="24"/>
          <w:szCs w:val="24"/>
        </w:rPr>
        <w:t xml:space="preserve"> or potential financial challenges</w:t>
      </w:r>
      <w:r w:rsidR="00B2421E">
        <w:rPr>
          <w:rFonts w:cstheme="minorHAnsi"/>
          <w:sz w:val="24"/>
          <w:szCs w:val="24"/>
        </w:rPr>
        <w:t xml:space="preserve"> in raising equity</w:t>
      </w:r>
      <w:r w:rsidRPr="00A613A8">
        <w:rPr>
          <w:rFonts w:cstheme="minorHAnsi"/>
          <w:sz w:val="24"/>
          <w:szCs w:val="24"/>
        </w:rPr>
        <w:t>.</w:t>
      </w:r>
    </w:p>
    <w:p w14:paraId="7D6F8BB3" w14:textId="3E67AC38" w:rsidR="00A746B5" w:rsidRPr="00A613A8" w:rsidRDefault="00A746B5" w:rsidP="00A613A8">
      <w:pPr>
        <w:spacing w:line="360" w:lineRule="auto"/>
        <w:rPr>
          <w:rFonts w:cstheme="minorHAnsi"/>
          <w:sz w:val="24"/>
          <w:szCs w:val="24"/>
        </w:rPr>
      </w:pPr>
      <w:r w:rsidRPr="00A613A8">
        <w:rPr>
          <w:rFonts w:cstheme="minorHAnsi"/>
          <w:sz w:val="24"/>
          <w:szCs w:val="24"/>
        </w:rPr>
        <w:t>On the other hand, both SHL and CHE appear more conservative in their financing decisions with a stronger emphasis on equity financing and lower leverage. Additionally, they seem to have been more efficient in utilizing their capital to generate returns.</w:t>
      </w:r>
      <w:r w:rsidR="00B2421E">
        <w:rPr>
          <w:rFonts w:cstheme="minorHAnsi"/>
          <w:sz w:val="24"/>
          <w:szCs w:val="24"/>
        </w:rPr>
        <w:t xml:space="preserve"> </w:t>
      </w:r>
    </w:p>
    <w:p w14:paraId="6E6B754D" w14:textId="4E4AE5A7" w:rsidR="0031293C" w:rsidRPr="00A613A8" w:rsidRDefault="005F3E12" w:rsidP="00A613A8">
      <w:pPr>
        <w:spacing w:line="360" w:lineRule="auto"/>
        <w:rPr>
          <w:rFonts w:cstheme="minorHAnsi"/>
          <w:sz w:val="24"/>
          <w:szCs w:val="24"/>
        </w:rPr>
      </w:pPr>
      <w:r w:rsidRPr="00A613A8">
        <w:rPr>
          <w:rFonts w:cstheme="minorHAnsi"/>
          <w:sz w:val="24"/>
          <w:szCs w:val="24"/>
        </w:rPr>
        <w:lastRenderedPageBreak/>
        <w:t>By the look of it RHC seems to be in a worse financial position when compared to its peers. Also, the financing decisions made by the management have not been effective.</w:t>
      </w:r>
    </w:p>
    <w:p w14:paraId="7315F076" w14:textId="4401C8BE" w:rsidR="005F3E12" w:rsidRPr="00A613A8" w:rsidRDefault="0031293C" w:rsidP="00A613A8">
      <w:pPr>
        <w:spacing w:line="360" w:lineRule="auto"/>
        <w:rPr>
          <w:rFonts w:cstheme="minorHAnsi"/>
          <w:b/>
          <w:bCs/>
          <w:sz w:val="24"/>
          <w:szCs w:val="24"/>
        </w:rPr>
      </w:pPr>
      <w:r w:rsidRPr="00A613A8">
        <w:rPr>
          <w:rFonts w:cstheme="minorHAnsi"/>
          <w:b/>
          <w:bCs/>
          <w:sz w:val="24"/>
          <w:szCs w:val="24"/>
        </w:rPr>
        <w:t>Financing Requirement:</w:t>
      </w:r>
    </w:p>
    <w:p w14:paraId="20FB2168" w14:textId="51A6546A" w:rsidR="0031293C" w:rsidRDefault="0031293C" w:rsidP="00C96D3A">
      <w:pPr>
        <w:spacing w:line="360" w:lineRule="auto"/>
        <w:rPr>
          <w:rFonts w:cstheme="minorHAnsi"/>
          <w:sz w:val="24"/>
          <w:szCs w:val="24"/>
        </w:rPr>
      </w:pPr>
      <w:r w:rsidRPr="00A613A8">
        <w:rPr>
          <w:rFonts w:cstheme="minorHAnsi"/>
          <w:sz w:val="24"/>
          <w:szCs w:val="24"/>
        </w:rPr>
        <w:t>To assess whether RHC requires additional financing to improve its financial condition we must look at what the company has planned for its future.</w:t>
      </w:r>
      <w:r w:rsidRPr="00A613A8">
        <w:rPr>
          <w:rFonts w:cstheme="minorHAnsi"/>
          <w:sz w:val="24"/>
          <w:szCs w:val="24"/>
        </w:rPr>
        <w:br/>
        <w:t xml:space="preserve">Ramsay Health Care plans strategic investments. Notably, an increase in digital and data operating expenses in Australia, totalling $34-44 million, underscores the company’s commitment to technological advancement and operational efficiency. </w:t>
      </w:r>
    </w:p>
    <w:p w14:paraId="599A050B" w14:textId="77777777" w:rsidR="001F40E4" w:rsidRPr="00A613A8" w:rsidRDefault="001F40E4" w:rsidP="001F40E4">
      <w:pPr>
        <w:spacing w:line="360" w:lineRule="auto"/>
        <w:rPr>
          <w:rFonts w:cstheme="minorHAnsi"/>
          <w:sz w:val="24"/>
          <w:szCs w:val="24"/>
        </w:rPr>
      </w:pPr>
      <w:r w:rsidRPr="00A613A8">
        <w:rPr>
          <w:rFonts w:cstheme="minorHAnsi"/>
          <w:sz w:val="24"/>
          <w:szCs w:val="24"/>
        </w:rPr>
        <w:t>As part of its financial planning, Ramsay Health Care allocates a significant budget for group capital expenditure, ranging from $0.89 billion to $1.02 billion. This strategic investment aims to reinforce the company’s infrastructure and support its growth initiatives.</w:t>
      </w:r>
      <w:r>
        <w:rPr>
          <w:rFonts w:cstheme="minorHAnsi"/>
          <w:sz w:val="24"/>
          <w:szCs w:val="24"/>
        </w:rPr>
        <w:t xml:space="preserve"> </w:t>
      </w:r>
      <w:r w:rsidRPr="00A613A8">
        <w:rPr>
          <w:rFonts w:cstheme="minorHAnsi"/>
          <w:sz w:val="24"/>
          <w:szCs w:val="24"/>
        </w:rPr>
        <w:t>The total financial requirement for RHC in 2024 is 1734-1964 million.</w:t>
      </w:r>
    </w:p>
    <w:p w14:paraId="67B3F2CA" w14:textId="64308541" w:rsidR="0031293C" w:rsidRPr="00A613A8" w:rsidRDefault="0031293C" w:rsidP="00A613A8">
      <w:pPr>
        <w:spacing w:line="360" w:lineRule="auto"/>
        <w:rPr>
          <w:rFonts w:cstheme="minorHAnsi"/>
          <w:sz w:val="24"/>
          <w:szCs w:val="24"/>
        </w:rPr>
      </w:pPr>
      <w:r w:rsidRPr="00A613A8">
        <w:rPr>
          <w:rFonts w:cstheme="minorHAnsi"/>
          <w:sz w:val="24"/>
          <w:szCs w:val="24"/>
        </w:rPr>
        <w:t>Ramsay Health Care’s investment strategy remains robust in 2024, with a focus on expanding its footprint in both hospital treatment capacity and out-of-hospital services. Investments in brownfield and greenfield projects in Australia are expected to reach $250-</w:t>
      </w:r>
      <w:r w:rsidR="00917485">
        <w:rPr>
          <w:rFonts w:cstheme="minorHAnsi"/>
          <w:sz w:val="24"/>
          <w:szCs w:val="24"/>
        </w:rPr>
        <w:t>$</w:t>
      </w:r>
      <w:r w:rsidRPr="00A613A8">
        <w:rPr>
          <w:rFonts w:cstheme="minorHAnsi"/>
          <w:sz w:val="24"/>
          <w:szCs w:val="24"/>
        </w:rPr>
        <w:t>300 million, indicative of the company’s dedication to enhancing healthcare services.</w:t>
      </w:r>
    </w:p>
    <w:p w14:paraId="0CF888C0" w14:textId="77777777" w:rsidR="001F40E4" w:rsidRDefault="000F6912" w:rsidP="001F40E4">
      <w:pPr>
        <w:spacing w:line="360" w:lineRule="auto"/>
        <w:rPr>
          <w:rFonts w:cstheme="minorHAnsi"/>
          <w:sz w:val="24"/>
          <w:szCs w:val="24"/>
        </w:rPr>
      </w:pPr>
      <w:r w:rsidRPr="00A613A8">
        <w:rPr>
          <w:rFonts w:cstheme="minorHAnsi"/>
          <w:sz w:val="24"/>
          <w:szCs w:val="24"/>
        </w:rPr>
        <w:t>Ramsay Health Care has secured A$1.5 billion in new committed revolving bank loan facilities with two of its key relationship banks. The facilities, which will mature in 1HFY26, are part of Ramsay’s ongoing bank loan refinancing activities and will be used to repay facilities maturing in 1HFY25. Ramsay will continue to seek to diversify the source and tenor of its borrowings over time.</w:t>
      </w:r>
    </w:p>
    <w:p w14:paraId="314130EB" w14:textId="6CEAF652" w:rsidR="000F6912" w:rsidRPr="001F40E4" w:rsidRDefault="000F6912" w:rsidP="001F40E4">
      <w:pPr>
        <w:spacing w:line="360" w:lineRule="auto"/>
        <w:rPr>
          <w:rFonts w:cstheme="minorHAnsi"/>
          <w:sz w:val="24"/>
          <w:szCs w:val="24"/>
        </w:rPr>
      </w:pPr>
      <w:r w:rsidRPr="00C96D3A">
        <w:rPr>
          <w:rFonts w:cstheme="minorHAnsi"/>
          <w:b/>
          <w:bCs/>
          <w:sz w:val="24"/>
          <w:szCs w:val="24"/>
        </w:rPr>
        <w:t xml:space="preserve">Long Term Debt </w:t>
      </w:r>
    </w:p>
    <w:p w14:paraId="2CFE7599" w14:textId="4BD33308" w:rsidR="000F6912" w:rsidRDefault="000F6912" w:rsidP="00A613A8">
      <w:pPr>
        <w:spacing w:line="360" w:lineRule="auto"/>
        <w:rPr>
          <w:rFonts w:cstheme="minorHAnsi"/>
          <w:sz w:val="24"/>
          <w:szCs w:val="24"/>
        </w:rPr>
      </w:pPr>
      <w:r w:rsidRPr="00A613A8">
        <w:rPr>
          <w:rFonts w:cstheme="minorHAnsi"/>
          <w:sz w:val="24"/>
          <w:szCs w:val="24"/>
        </w:rPr>
        <w:t xml:space="preserve">The Long-Term Debt for RHC and SHL are given as follows. CHE has no </w:t>
      </w:r>
      <w:r w:rsidR="00E75DF7" w:rsidRPr="00A613A8">
        <w:rPr>
          <w:rFonts w:cstheme="minorHAnsi"/>
          <w:sz w:val="24"/>
          <w:szCs w:val="24"/>
        </w:rPr>
        <w:t>long-term</w:t>
      </w:r>
      <w:r w:rsidRPr="00A613A8">
        <w:rPr>
          <w:rFonts w:cstheme="minorHAnsi"/>
          <w:sz w:val="24"/>
          <w:szCs w:val="24"/>
        </w:rPr>
        <w:t xml:space="preserve"> debt commitments.</w:t>
      </w:r>
      <w:r w:rsidR="001F40E4">
        <w:rPr>
          <w:rFonts w:cstheme="minorHAnsi"/>
          <w:sz w:val="24"/>
          <w:szCs w:val="24"/>
        </w:rPr>
        <w:t xml:space="preserve"> </w:t>
      </w:r>
      <w:r w:rsidR="001F40E4" w:rsidRPr="001F40E4">
        <w:rPr>
          <w:rFonts w:cstheme="minorHAnsi"/>
          <w:sz w:val="24"/>
          <w:szCs w:val="24"/>
        </w:rPr>
        <w:t>Sonic has all its 1673.6M long term debt in unsecured bonds.</w:t>
      </w:r>
    </w:p>
    <w:p w14:paraId="70B38031" w14:textId="77777777" w:rsidR="001F40E4" w:rsidRPr="00A613A8" w:rsidRDefault="001F40E4" w:rsidP="00A613A8">
      <w:pPr>
        <w:spacing w:line="360" w:lineRule="auto"/>
        <w:rPr>
          <w:rFonts w:cstheme="minorHAnsi"/>
          <w:sz w:val="24"/>
          <w:szCs w:val="24"/>
        </w:rPr>
      </w:pPr>
    </w:p>
    <w:tbl>
      <w:tblPr>
        <w:tblW w:w="6180" w:type="dxa"/>
        <w:tblInd w:w="1454" w:type="dxa"/>
        <w:tblLook w:val="04A0" w:firstRow="1" w:lastRow="0" w:firstColumn="1" w:lastColumn="0" w:noHBand="0" w:noVBand="1"/>
      </w:tblPr>
      <w:tblGrid>
        <w:gridCol w:w="4220"/>
        <w:gridCol w:w="1014"/>
        <w:gridCol w:w="1001"/>
      </w:tblGrid>
      <w:tr w:rsidR="000F6912" w:rsidRPr="00A613A8" w14:paraId="6AF46C2C" w14:textId="77777777" w:rsidTr="001F40E4">
        <w:trPr>
          <w:trHeight w:val="300"/>
        </w:trPr>
        <w:tc>
          <w:tcPr>
            <w:tcW w:w="4220" w:type="dxa"/>
            <w:tcBorders>
              <w:top w:val="nil"/>
              <w:left w:val="nil"/>
              <w:bottom w:val="nil"/>
              <w:right w:val="nil"/>
            </w:tcBorders>
            <w:shd w:val="clear" w:color="auto" w:fill="auto"/>
            <w:noWrap/>
            <w:vAlign w:val="bottom"/>
            <w:hideMark/>
          </w:tcPr>
          <w:p w14:paraId="09B7AEE7" w14:textId="5D646EC7" w:rsidR="000F6912" w:rsidRPr="00A613A8" w:rsidRDefault="000F6912" w:rsidP="001F40E4">
            <w:pPr>
              <w:spacing w:after="0" w:line="360" w:lineRule="auto"/>
              <w:jc w:val="center"/>
              <w:rPr>
                <w:rFonts w:eastAsia="Times New Roman" w:cstheme="minorHAnsi"/>
                <w:b/>
                <w:bCs/>
                <w:color w:val="000000"/>
                <w:sz w:val="24"/>
                <w:szCs w:val="24"/>
                <w:lang w:val="en-IN" w:eastAsia="en-IN"/>
              </w:rPr>
            </w:pPr>
            <w:r w:rsidRPr="00A613A8">
              <w:rPr>
                <w:rFonts w:eastAsia="Times New Roman" w:cstheme="minorHAnsi"/>
                <w:b/>
                <w:bCs/>
                <w:color w:val="000000"/>
                <w:sz w:val="24"/>
                <w:szCs w:val="24"/>
                <w:lang w:val="en-IN" w:eastAsia="en-IN"/>
              </w:rPr>
              <w:t>LT Debt by Seniority Summary</w:t>
            </w:r>
            <w:r w:rsidR="00DC7492">
              <w:rPr>
                <w:rFonts w:eastAsia="Times New Roman" w:cstheme="minorHAnsi"/>
                <w:b/>
                <w:bCs/>
                <w:color w:val="000000"/>
                <w:sz w:val="24"/>
                <w:szCs w:val="24"/>
                <w:lang w:val="en-IN" w:eastAsia="en-IN"/>
              </w:rPr>
              <w:t xml:space="preserve"> for </w:t>
            </w:r>
            <w:r w:rsidR="00DC7492" w:rsidRPr="00DC7492">
              <w:rPr>
                <w:rFonts w:eastAsia="Times New Roman" w:cstheme="minorHAnsi"/>
                <w:b/>
                <w:bCs/>
                <w:color w:val="000000"/>
                <w:sz w:val="24"/>
                <w:szCs w:val="24"/>
                <w:lang w:val="en-IN" w:eastAsia="en-IN"/>
              </w:rPr>
              <w:t>RHC</w:t>
            </w:r>
          </w:p>
        </w:tc>
        <w:tc>
          <w:tcPr>
            <w:tcW w:w="980" w:type="dxa"/>
            <w:tcBorders>
              <w:top w:val="nil"/>
              <w:left w:val="nil"/>
              <w:bottom w:val="nil"/>
              <w:right w:val="nil"/>
            </w:tcBorders>
            <w:shd w:val="clear" w:color="auto" w:fill="auto"/>
            <w:noWrap/>
            <w:vAlign w:val="bottom"/>
            <w:hideMark/>
          </w:tcPr>
          <w:p w14:paraId="66BD8764" w14:textId="77777777" w:rsidR="000F6912" w:rsidRPr="00A613A8" w:rsidRDefault="000F6912" w:rsidP="001F40E4">
            <w:pPr>
              <w:spacing w:after="0" w:line="360" w:lineRule="auto"/>
              <w:jc w:val="center"/>
              <w:rPr>
                <w:rFonts w:eastAsia="Times New Roman" w:cstheme="minorHAnsi"/>
                <w:b/>
                <w:bCs/>
                <w:color w:val="000000"/>
                <w:sz w:val="24"/>
                <w:szCs w:val="24"/>
                <w:lang w:val="en-IN" w:eastAsia="en-IN"/>
              </w:rPr>
            </w:pPr>
          </w:p>
        </w:tc>
        <w:tc>
          <w:tcPr>
            <w:tcW w:w="980" w:type="dxa"/>
            <w:tcBorders>
              <w:top w:val="nil"/>
              <w:left w:val="nil"/>
              <w:bottom w:val="nil"/>
              <w:right w:val="nil"/>
            </w:tcBorders>
            <w:shd w:val="clear" w:color="auto" w:fill="auto"/>
            <w:noWrap/>
            <w:vAlign w:val="bottom"/>
            <w:hideMark/>
          </w:tcPr>
          <w:p w14:paraId="0FFFFF5E" w14:textId="77777777" w:rsidR="000F6912" w:rsidRPr="00A613A8" w:rsidRDefault="000F6912" w:rsidP="001F40E4">
            <w:pPr>
              <w:spacing w:after="0" w:line="360" w:lineRule="auto"/>
              <w:jc w:val="center"/>
              <w:rPr>
                <w:rFonts w:eastAsia="Times New Roman" w:cstheme="minorHAnsi"/>
                <w:sz w:val="24"/>
                <w:szCs w:val="24"/>
                <w:lang w:val="en-IN" w:eastAsia="en-IN"/>
              </w:rPr>
            </w:pPr>
          </w:p>
        </w:tc>
      </w:tr>
      <w:tr w:rsidR="000F6912" w:rsidRPr="00A613A8" w14:paraId="05D0511D" w14:textId="77777777" w:rsidTr="001F40E4">
        <w:trPr>
          <w:trHeight w:val="300"/>
        </w:trPr>
        <w:tc>
          <w:tcPr>
            <w:tcW w:w="4220" w:type="dxa"/>
            <w:tcBorders>
              <w:top w:val="nil"/>
              <w:left w:val="nil"/>
              <w:bottom w:val="nil"/>
              <w:right w:val="nil"/>
            </w:tcBorders>
            <w:shd w:val="clear" w:color="auto" w:fill="auto"/>
            <w:noWrap/>
            <w:vAlign w:val="bottom"/>
            <w:hideMark/>
          </w:tcPr>
          <w:p w14:paraId="3DE6C893"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Seniority</w:t>
            </w:r>
          </w:p>
        </w:tc>
        <w:tc>
          <w:tcPr>
            <w:tcW w:w="980" w:type="dxa"/>
            <w:tcBorders>
              <w:top w:val="nil"/>
              <w:left w:val="nil"/>
              <w:bottom w:val="nil"/>
              <w:right w:val="nil"/>
            </w:tcBorders>
            <w:shd w:val="clear" w:color="auto" w:fill="auto"/>
            <w:noWrap/>
            <w:vAlign w:val="bottom"/>
            <w:hideMark/>
          </w:tcPr>
          <w:p w14:paraId="59A97B27"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Amt</w:t>
            </w:r>
          </w:p>
        </w:tc>
        <w:tc>
          <w:tcPr>
            <w:tcW w:w="980" w:type="dxa"/>
            <w:tcBorders>
              <w:top w:val="nil"/>
              <w:left w:val="nil"/>
              <w:bottom w:val="nil"/>
              <w:right w:val="nil"/>
            </w:tcBorders>
            <w:shd w:val="clear" w:color="auto" w:fill="auto"/>
            <w:noWrap/>
            <w:vAlign w:val="bottom"/>
            <w:hideMark/>
          </w:tcPr>
          <w:p w14:paraId="55E67982"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Pct</w:t>
            </w:r>
          </w:p>
        </w:tc>
      </w:tr>
      <w:tr w:rsidR="000F6912" w:rsidRPr="00A613A8" w14:paraId="7EDCB242" w14:textId="77777777" w:rsidTr="001F40E4">
        <w:trPr>
          <w:trHeight w:val="300"/>
        </w:trPr>
        <w:tc>
          <w:tcPr>
            <w:tcW w:w="4220" w:type="dxa"/>
            <w:tcBorders>
              <w:top w:val="nil"/>
              <w:left w:val="nil"/>
              <w:bottom w:val="nil"/>
              <w:right w:val="nil"/>
            </w:tcBorders>
            <w:shd w:val="clear" w:color="000000" w:fill="F0F0F0"/>
            <w:noWrap/>
            <w:vAlign w:val="bottom"/>
            <w:hideMark/>
          </w:tcPr>
          <w:p w14:paraId="23C473B1"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Senior Secured</w:t>
            </w:r>
          </w:p>
        </w:tc>
        <w:tc>
          <w:tcPr>
            <w:tcW w:w="980" w:type="dxa"/>
            <w:tcBorders>
              <w:top w:val="nil"/>
              <w:left w:val="nil"/>
              <w:bottom w:val="nil"/>
              <w:right w:val="nil"/>
            </w:tcBorders>
            <w:shd w:val="clear" w:color="000000" w:fill="F0F0F0"/>
            <w:noWrap/>
            <w:vAlign w:val="bottom"/>
            <w:hideMark/>
          </w:tcPr>
          <w:p w14:paraId="429722F2"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3,099.1</w:t>
            </w:r>
          </w:p>
        </w:tc>
        <w:tc>
          <w:tcPr>
            <w:tcW w:w="980" w:type="dxa"/>
            <w:tcBorders>
              <w:top w:val="nil"/>
              <w:left w:val="nil"/>
              <w:bottom w:val="nil"/>
              <w:right w:val="nil"/>
            </w:tcBorders>
            <w:shd w:val="clear" w:color="000000" w:fill="F0F0F0"/>
            <w:noWrap/>
            <w:vAlign w:val="bottom"/>
            <w:hideMark/>
          </w:tcPr>
          <w:p w14:paraId="3B2468FE"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52.2%</w:t>
            </w:r>
          </w:p>
        </w:tc>
      </w:tr>
      <w:tr w:rsidR="000F6912" w:rsidRPr="00A613A8" w14:paraId="158FF1FC" w14:textId="77777777" w:rsidTr="001F40E4">
        <w:trPr>
          <w:trHeight w:val="300"/>
        </w:trPr>
        <w:tc>
          <w:tcPr>
            <w:tcW w:w="4220" w:type="dxa"/>
            <w:tcBorders>
              <w:top w:val="nil"/>
              <w:left w:val="nil"/>
              <w:bottom w:val="nil"/>
              <w:right w:val="nil"/>
            </w:tcBorders>
            <w:shd w:val="clear" w:color="auto" w:fill="auto"/>
            <w:noWrap/>
            <w:vAlign w:val="bottom"/>
            <w:hideMark/>
          </w:tcPr>
          <w:p w14:paraId="73AF93F2"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Senior Unsecured</w:t>
            </w:r>
          </w:p>
        </w:tc>
        <w:tc>
          <w:tcPr>
            <w:tcW w:w="980" w:type="dxa"/>
            <w:tcBorders>
              <w:top w:val="nil"/>
              <w:left w:val="nil"/>
              <w:bottom w:val="nil"/>
              <w:right w:val="nil"/>
            </w:tcBorders>
            <w:shd w:val="clear" w:color="auto" w:fill="auto"/>
            <w:noWrap/>
            <w:vAlign w:val="bottom"/>
            <w:hideMark/>
          </w:tcPr>
          <w:p w14:paraId="31CBA26D"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2,832.3</w:t>
            </w:r>
          </w:p>
        </w:tc>
        <w:tc>
          <w:tcPr>
            <w:tcW w:w="980" w:type="dxa"/>
            <w:tcBorders>
              <w:top w:val="nil"/>
              <w:left w:val="nil"/>
              <w:bottom w:val="nil"/>
              <w:right w:val="nil"/>
            </w:tcBorders>
            <w:shd w:val="clear" w:color="auto" w:fill="auto"/>
            <w:noWrap/>
            <w:vAlign w:val="bottom"/>
            <w:hideMark/>
          </w:tcPr>
          <w:p w14:paraId="6C22FEA5"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47.8%</w:t>
            </w:r>
          </w:p>
        </w:tc>
      </w:tr>
      <w:tr w:rsidR="000F6912" w:rsidRPr="00A613A8" w14:paraId="5BECEFA5" w14:textId="77777777" w:rsidTr="001F40E4">
        <w:trPr>
          <w:trHeight w:val="300"/>
        </w:trPr>
        <w:tc>
          <w:tcPr>
            <w:tcW w:w="4220" w:type="dxa"/>
            <w:tcBorders>
              <w:top w:val="nil"/>
              <w:left w:val="nil"/>
              <w:bottom w:val="nil"/>
              <w:right w:val="nil"/>
            </w:tcBorders>
            <w:shd w:val="clear" w:color="000000" w:fill="F0F0F0"/>
            <w:noWrap/>
            <w:vAlign w:val="bottom"/>
            <w:hideMark/>
          </w:tcPr>
          <w:p w14:paraId="4E4315B5"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Total Classified</w:t>
            </w:r>
          </w:p>
        </w:tc>
        <w:tc>
          <w:tcPr>
            <w:tcW w:w="980" w:type="dxa"/>
            <w:tcBorders>
              <w:top w:val="nil"/>
              <w:left w:val="nil"/>
              <w:bottom w:val="nil"/>
              <w:right w:val="nil"/>
            </w:tcBorders>
            <w:shd w:val="clear" w:color="000000" w:fill="F0F0F0"/>
            <w:noWrap/>
            <w:vAlign w:val="bottom"/>
            <w:hideMark/>
          </w:tcPr>
          <w:p w14:paraId="7EA48D54"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5,931.4</w:t>
            </w:r>
          </w:p>
        </w:tc>
        <w:tc>
          <w:tcPr>
            <w:tcW w:w="980" w:type="dxa"/>
            <w:tcBorders>
              <w:top w:val="nil"/>
              <w:left w:val="nil"/>
              <w:bottom w:val="nil"/>
              <w:right w:val="nil"/>
            </w:tcBorders>
            <w:shd w:val="clear" w:color="000000" w:fill="F0F0F0"/>
            <w:noWrap/>
            <w:vAlign w:val="bottom"/>
            <w:hideMark/>
          </w:tcPr>
          <w:p w14:paraId="09CEC1C9" w14:textId="77777777" w:rsidR="000F6912" w:rsidRPr="00A613A8" w:rsidRDefault="000F6912" w:rsidP="001F40E4">
            <w:pPr>
              <w:spacing w:after="0" w:line="360" w:lineRule="auto"/>
              <w:jc w:val="center"/>
              <w:rPr>
                <w:rFonts w:eastAsia="Times New Roman" w:cstheme="minorHAnsi"/>
                <w:color w:val="000000"/>
                <w:sz w:val="24"/>
                <w:szCs w:val="24"/>
                <w:lang w:val="en-IN" w:eastAsia="en-IN"/>
              </w:rPr>
            </w:pPr>
            <w:r w:rsidRPr="00A613A8">
              <w:rPr>
                <w:rFonts w:eastAsia="Times New Roman" w:cstheme="minorHAnsi"/>
                <w:color w:val="000000"/>
                <w:sz w:val="24"/>
                <w:szCs w:val="24"/>
                <w:lang w:val="en-IN" w:eastAsia="en-IN"/>
              </w:rPr>
              <w:t>100.0%</w:t>
            </w:r>
          </w:p>
        </w:tc>
      </w:tr>
    </w:tbl>
    <w:p w14:paraId="7F063600" w14:textId="77777777" w:rsidR="008E1349" w:rsidRDefault="000F6912" w:rsidP="001F40E4">
      <w:pPr>
        <w:spacing w:line="360" w:lineRule="auto"/>
        <w:jc w:val="center"/>
        <w:rPr>
          <w:rFonts w:ascii="Arial" w:hAnsi="Arial" w:cs="Arial"/>
        </w:rPr>
      </w:pPr>
      <w:r w:rsidRPr="009D37D7">
        <w:rPr>
          <w:rFonts w:ascii="Arial" w:hAnsi="Arial" w:cs="Arial"/>
          <w:noProof/>
        </w:rPr>
        <w:drawing>
          <wp:inline distT="0" distB="0" distL="0" distR="0" wp14:anchorId="2DE68749" wp14:editId="09F1A81D">
            <wp:extent cx="4054440" cy="1257300"/>
            <wp:effectExtent l="0" t="0" r="3810" b="0"/>
            <wp:docPr id="808906635" name="Picture 1" descr="A graph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06635" name="Picture 1" descr="A graph with different colored squares&#10;&#10;Description automatically generated"/>
                    <pic:cNvPicPr/>
                  </pic:nvPicPr>
                  <pic:blipFill>
                    <a:blip r:embed="rId10"/>
                    <a:stretch>
                      <a:fillRect/>
                    </a:stretch>
                  </pic:blipFill>
                  <pic:spPr>
                    <a:xfrm>
                      <a:off x="0" y="0"/>
                      <a:ext cx="4101071" cy="1271760"/>
                    </a:xfrm>
                    <a:prstGeom prst="rect">
                      <a:avLst/>
                    </a:prstGeom>
                  </pic:spPr>
                </pic:pic>
              </a:graphicData>
            </a:graphic>
          </wp:inline>
        </w:drawing>
      </w:r>
    </w:p>
    <w:p w14:paraId="44CBB010" w14:textId="1585E53A" w:rsidR="00C96D3A" w:rsidRPr="009D37D7" w:rsidRDefault="008E1349" w:rsidP="001F40E4">
      <w:pPr>
        <w:spacing w:line="360" w:lineRule="auto"/>
        <w:jc w:val="center"/>
        <w:rPr>
          <w:rFonts w:ascii="Arial" w:hAnsi="Arial" w:cs="Arial"/>
        </w:rPr>
      </w:pPr>
      <w:r w:rsidRPr="009D37D7">
        <w:rPr>
          <w:rFonts w:ascii="Arial" w:hAnsi="Arial" w:cs="Arial"/>
        </w:rPr>
        <w:t>RHC</w:t>
      </w:r>
    </w:p>
    <w:p w14:paraId="51360B50" w14:textId="77777777" w:rsidR="008E1349" w:rsidRDefault="000F6912" w:rsidP="001F40E4">
      <w:pPr>
        <w:spacing w:line="360" w:lineRule="auto"/>
        <w:jc w:val="center"/>
        <w:rPr>
          <w:rFonts w:ascii="Arial" w:hAnsi="Arial" w:cs="Arial"/>
        </w:rPr>
      </w:pPr>
      <w:r w:rsidRPr="009D37D7">
        <w:rPr>
          <w:rFonts w:ascii="Arial" w:hAnsi="Arial" w:cs="Arial"/>
          <w:noProof/>
        </w:rPr>
        <w:drawing>
          <wp:inline distT="0" distB="0" distL="0" distR="0" wp14:anchorId="6B21AD3C" wp14:editId="3C648473">
            <wp:extent cx="4095750" cy="1285538"/>
            <wp:effectExtent l="0" t="0" r="0" b="0"/>
            <wp:docPr id="823724751"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24751" name="Picture 1" descr="A graph with numbers and a bar&#10;&#10;Description automatically generated"/>
                    <pic:cNvPicPr/>
                  </pic:nvPicPr>
                  <pic:blipFill>
                    <a:blip r:embed="rId11"/>
                    <a:stretch>
                      <a:fillRect/>
                    </a:stretch>
                  </pic:blipFill>
                  <pic:spPr>
                    <a:xfrm>
                      <a:off x="0" y="0"/>
                      <a:ext cx="4187952" cy="1314478"/>
                    </a:xfrm>
                    <a:prstGeom prst="rect">
                      <a:avLst/>
                    </a:prstGeom>
                  </pic:spPr>
                </pic:pic>
              </a:graphicData>
            </a:graphic>
          </wp:inline>
        </w:drawing>
      </w:r>
    </w:p>
    <w:p w14:paraId="35DF22CA" w14:textId="4CB79878" w:rsidR="001F40E4" w:rsidRDefault="000F6912" w:rsidP="001F40E4">
      <w:pPr>
        <w:spacing w:line="360" w:lineRule="auto"/>
        <w:jc w:val="center"/>
        <w:rPr>
          <w:rFonts w:ascii="Arial" w:hAnsi="Arial" w:cs="Arial"/>
        </w:rPr>
      </w:pPr>
      <w:r w:rsidRPr="009D37D7">
        <w:rPr>
          <w:rFonts w:ascii="Arial" w:hAnsi="Arial" w:cs="Arial"/>
        </w:rPr>
        <w:t>SHL</w:t>
      </w:r>
    </w:p>
    <w:p w14:paraId="3AE7AB77" w14:textId="44EC3CA3" w:rsidR="0031293C" w:rsidRPr="00F33C41" w:rsidRDefault="00CD65F1" w:rsidP="001F40E4">
      <w:pPr>
        <w:spacing w:line="360" w:lineRule="auto"/>
        <w:rPr>
          <w:rFonts w:ascii="Arial" w:hAnsi="Arial" w:cs="Arial"/>
        </w:rPr>
      </w:pPr>
      <w:r w:rsidRPr="00A613A8">
        <w:rPr>
          <w:rFonts w:cstheme="minorHAnsi"/>
          <w:b/>
          <w:bCs/>
          <w:sz w:val="24"/>
          <w:szCs w:val="24"/>
        </w:rPr>
        <w:t>Raise equity or debt?</w:t>
      </w:r>
    </w:p>
    <w:p w14:paraId="68CDD884" w14:textId="77777777" w:rsidR="000F053F" w:rsidRPr="00A613A8" w:rsidRDefault="000F053F" w:rsidP="00A613A8">
      <w:pPr>
        <w:spacing w:line="360" w:lineRule="auto"/>
        <w:rPr>
          <w:rFonts w:cstheme="minorHAnsi"/>
          <w:sz w:val="24"/>
          <w:szCs w:val="24"/>
        </w:rPr>
      </w:pPr>
      <w:r w:rsidRPr="00A613A8">
        <w:rPr>
          <w:rFonts w:cstheme="minorHAnsi"/>
          <w:sz w:val="24"/>
          <w:szCs w:val="24"/>
        </w:rPr>
        <w:t>To raise funds for this expense an assessment is made whether to raise the funds through equity or debt.</w:t>
      </w:r>
    </w:p>
    <w:p w14:paraId="37DD4C28" w14:textId="44892A07" w:rsidR="00AF7EE5" w:rsidRPr="00A613A8" w:rsidRDefault="000F053F" w:rsidP="00A613A8">
      <w:pPr>
        <w:spacing w:line="360" w:lineRule="auto"/>
        <w:rPr>
          <w:rFonts w:cstheme="minorHAnsi"/>
          <w:b/>
          <w:bCs/>
          <w:sz w:val="24"/>
          <w:szCs w:val="24"/>
        </w:rPr>
      </w:pPr>
      <w:r w:rsidRPr="00A613A8">
        <w:rPr>
          <w:rFonts w:cstheme="minorHAnsi"/>
          <w:b/>
          <w:bCs/>
          <w:sz w:val="24"/>
          <w:szCs w:val="24"/>
        </w:rPr>
        <w:t>Current financial health of RHC</w:t>
      </w:r>
      <w:r w:rsidR="00861046" w:rsidRPr="00A613A8">
        <w:rPr>
          <w:rFonts w:cstheme="minorHAnsi"/>
          <w:b/>
          <w:bCs/>
          <w:sz w:val="24"/>
          <w:szCs w:val="24"/>
        </w:rPr>
        <w:t>:</w:t>
      </w:r>
    </w:p>
    <w:p w14:paraId="57DBFDBD" w14:textId="074A61F7" w:rsidR="004629C5" w:rsidRPr="00A613A8" w:rsidRDefault="004629C5" w:rsidP="00A613A8">
      <w:pPr>
        <w:spacing w:line="360" w:lineRule="auto"/>
        <w:rPr>
          <w:rFonts w:cstheme="minorHAnsi"/>
          <w:sz w:val="24"/>
          <w:szCs w:val="24"/>
        </w:rPr>
      </w:pPr>
      <w:r w:rsidRPr="00A613A8">
        <w:rPr>
          <w:rFonts w:cstheme="minorHAnsi"/>
          <w:sz w:val="24"/>
          <w:szCs w:val="24"/>
        </w:rPr>
        <w:t>To analyse the current financial health of RHC we must calculate the present value of interest tax shield and financial distress cost.</w:t>
      </w:r>
    </w:p>
    <w:p w14:paraId="5DADB9CE" w14:textId="043A6206" w:rsidR="004629C5" w:rsidRPr="00A613A8" w:rsidRDefault="00A97752" w:rsidP="00A613A8">
      <w:pPr>
        <w:spacing w:line="360" w:lineRule="auto"/>
        <w:rPr>
          <w:rFonts w:cstheme="minorHAnsi"/>
          <w:sz w:val="24"/>
          <w:szCs w:val="24"/>
        </w:rPr>
      </w:pPr>
      <w:r w:rsidRPr="00A613A8">
        <w:rPr>
          <w:rFonts w:cstheme="minorHAnsi"/>
          <w:sz w:val="24"/>
          <w:szCs w:val="24"/>
        </w:rPr>
        <w:t>Let’s</w:t>
      </w:r>
      <w:r w:rsidR="004629C5" w:rsidRPr="00A613A8">
        <w:rPr>
          <w:rFonts w:cstheme="minorHAnsi"/>
          <w:sz w:val="24"/>
          <w:szCs w:val="24"/>
        </w:rPr>
        <w:t xml:space="preserve"> start by calculating WACC, which we use for discounting the future cash flows.</w:t>
      </w:r>
    </w:p>
    <w:p w14:paraId="3BF228CB" w14:textId="0C904925" w:rsidR="004629C5" w:rsidRPr="00A613A8" w:rsidRDefault="004629C5" w:rsidP="00A613A8">
      <w:pPr>
        <w:spacing w:line="360" w:lineRule="auto"/>
        <w:rPr>
          <w:rFonts w:eastAsia="Times New Roman" w:cstheme="minorHAnsi"/>
          <w:b/>
          <w:bCs/>
          <w:color w:val="000000"/>
          <w:sz w:val="24"/>
          <w:szCs w:val="24"/>
          <w:lang w:eastAsia="en-IN"/>
        </w:rPr>
      </w:pPr>
      <w:r w:rsidRPr="00A613A8">
        <w:rPr>
          <w:rFonts w:eastAsia="Times New Roman" w:cstheme="minorHAnsi"/>
          <w:b/>
          <w:bCs/>
          <w:color w:val="000000"/>
          <w:sz w:val="24"/>
          <w:szCs w:val="24"/>
          <w:lang w:eastAsia="en-IN"/>
        </w:rPr>
        <w:t>Calculating Cost of Debt (Rd):</w:t>
      </w:r>
    </w:p>
    <w:p w14:paraId="06C3E092" w14:textId="5CAB82E4" w:rsidR="000F053F" w:rsidRPr="00A613A8" w:rsidRDefault="000F053F" w:rsidP="00DC7492">
      <w:pPr>
        <w:spacing w:line="360" w:lineRule="auto"/>
        <w:rPr>
          <w:rFonts w:eastAsia="Times New Roman" w:cstheme="minorHAnsi"/>
          <w:color w:val="000000"/>
          <w:sz w:val="24"/>
          <w:szCs w:val="24"/>
          <w:lang w:eastAsia="en-IN"/>
        </w:rPr>
      </w:pPr>
      <w:r w:rsidRPr="00A613A8">
        <w:rPr>
          <w:rFonts w:cstheme="minorHAnsi"/>
          <w:sz w:val="24"/>
          <w:szCs w:val="24"/>
        </w:rPr>
        <w:lastRenderedPageBreak/>
        <w:t xml:space="preserve">Currently RHC has a total market equity value of </w:t>
      </w:r>
      <w:r w:rsidRPr="00A613A8">
        <w:rPr>
          <w:rFonts w:eastAsia="Times New Roman" w:cstheme="minorHAnsi"/>
          <w:color w:val="000000"/>
          <w:sz w:val="24"/>
          <w:szCs w:val="24"/>
          <w:lang w:eastAsia="en-IN"/>
        </w:rPr>
        <w:t xml:space="preserve">13,753.9 </w:t>
      </w:r>
      <w:r w:rsidR="00A97752" w:rsidRPr="00A613A8">
        <w:rPr>
          <w:rFonts w:eastAsia="Times New Roman" w:cstheme="minorHAnsi"/>
          <w:color w:val="000000"/>
          <w:sz w:val="24"/>
          <w:szCs w:val="24"/>
          <w:lang w:eastAsia="en-IN"/>
        </w:rPr>
        <w:t>million</w:t>
      </w:r>
      <w:r w:rsidRPr="00A613A8">
        <w:rPr>
          <w:rFonts w:eastAsia="Times New Roman" w:cstheme="minorHAnsi"/>
          <w:color w:val="000000"/>
          <w:sz w:val="24"/>
          <w:szCs w:val="24"/>
          <w:lang w:eastAsia="en-IN"/>
        </w:rPr>
        <w:t xml:space="preserve"> (E) and Debt value of 11,887 </w:t>
      </w:r>
      <w:r w:rsidR="00A97752" w:rsidRPr="00A613A8">
        <w:rPr>
          <w:rFonts w:eastAsia="Times New Roman" w:cstheme="minorHAnsi"/>
          <w:color w:val="000000"/>
          <w:sz w:val="24"/>
          <w:szCs w:val="24"/>
          <w:lang w:eastAsia="en-IN"/>
        </w:rPr>
        <w:t>m</w:t>
      </w:r>
      <w:r w:rsidRPr="00A613A8">
        <w:rPr>
          <w:rFonts w:eastAsia="Times New Roman" w:cstheme="minorHAnsi"/>
          <w:color w:val="000000"/>
          <w:sz w:val="24"/>
          <w:szCs w:val="24"/>
          <w:lang w:eastAsia="en-IN"/>
        </w:rPr>
        <w:t>illion (D).</w:t>
      </w:r>
      <w:r w:rsidR="00DC7492">
        <w:rPr>
          <w:rFonts w:eastAsia="Times New Roman" w:cstheme="minorHAnsi"/>
          <w:color w:val="000000"/>
          <w:sz w:val="24"/>
          <w:szCs w:val="24"/>
          <w:lang w:eastAsia="en-IN"/>
        </w:rPr>
        <w:t xml:space="preserve"> </w:t>
      </w:r>
      <w:r w:rsidRPr="00A613A8">
        <w:rPr>
          <w:rFonts w:eastAsia="Times New Roman" w:cstheme="minorHAnsi"/>
          <w:color w:val="000000"/>
          <w:sz w:val="24"/>
          <w:szCs w:val="24"/>
          <w:lang w:eastAsia="en-IN"/>
        </w:rPr>
        <w:t>By calculating 5-year average interest coverage ratio for RHC we find it to be 2.72</w:t>
      </w:r>
    </w:p>
    <w:p w14:paraId="6D6B55AD" w14:textId="4E84DBC8" w:rsidR="00AF7EE5" w:rsidRPr="00A613A8" w:rsidRDefault="00AF7EE5"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Cost of Debt (Rd) = Risk Free Rate + Default Spread</w:t>
      </w:r>
    </w:p>
    <w:p w14:paraId="153619DE" w14:textId="37CCFB91" w:rsidR="008375CC" w:rsidRPr="00A613A8" w:rsidRDefault="007B607E"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Risk Free Rate is the 10 Year Australian Government Bond yield – 4.438%</w:t>
      </w:r>
    </w:p>
    <w:p w14:paraId="13F88E1B" w14:textId="2E0708EF" w:rsidR="007B607E" w:rsidRPr="00A613A8" w:rsidRDefault="007B607E" w:rsidP="00E75DF7">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Default Spread for RHC (BBB Rating) – 2.25%</w:t>
      </w:r>
      <w:r w:rsidR="00E75DF7">
        <w:rPr>
          <w:rFonts w:eastAsia="Times New Roman" w:cstheme="minorHAnsi"/>
          <w:color w:val="000000"/>
          <w:sz w:val="24"/>
          <w:szCs w:val="24"/>
          <w:lang w:eastAsia="en-IN"/>
        </w:rPr>
        <w:t xml:space="preserve"> (</w:t>
      </w:r>
      <w:r w:rsidR="00E75DF7" w:rsidRPr="00A613A8">
        <w:rPr>
          <w:rFonts w:eastAsia="Times New Roman" w:cstheme="minorHAnsi"/>
          <w:color w:val="000000"/>
          <w:sz w:val="24"/>
          <w:szCs w:val="24"/>
          <w:lang w:eastAsia="en-IN"/>
        </w:rPr>
        <w:t>From NYU stern</w:t>
      </w:r>
      <w:r w:rsidR="00E75DF7">
        <w:rPr>
          <w:rFonts w:eastAsia="Times New Roman" w:cstheme="minorHAnsi"/>
          <w:color w:val="000000"/>
          <w:sz w:val="24"/>
          <w:szCs w:val="24"/>
          <w:lang w:eastAsia="en-IN"/>
        </w:rPr>
        <w:t xml:space="preserve"> </w:t>
      </w:r>
      <w:r w:rsidR="00E75DF7" w:rsidRPr="00A613A8">
        <w:rPr>
          <w:rFonts w:eastAsia="Times New Roman" w:cstheme="minorHAnsi"/>
          <w:color w:val="000000"/>
          <w:sz w:val="24"/>
          <w:szCs w:val="24"/>
          <w:lang w:eastAsia="en-IN"/>
        </w:rPr>
        <w:t>default spread table</w:t>
      </w:r>
      <w:r w:rsidR="00E75DF7">
        <w:rPr>
          <w:rFonts w:eastAsia="Times New Roman" w:cstheme="minorHAnsi"/>
          <w:color w:val="000000"/>
          <w:sz w:val="24"/>
          <w:szCs w:val="24"/>
          <w:lang w:eastAsia="en-IN"/>
        </w:rPr>
        <w:t>)</w:t>
      </w:r>
    </w:p>
    <w:p w14:paraId="1DD654F4" w14:textId="7398672C" w:rsidR="000F053F" w:rsidRPr="00A613A8" w:rsidRDefault="007B607E"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Therefore, b</w:t>
      </w:r>
      <w:r w:rsidR="000F053F" w:rsidRPr="00A613A8">
        <w:rPr>
          <w:rFonts w:eastAsia="Times New Roman" w:cstheme="minorHAnsi"/>
          <w:color w:val="000000"/>
          <w:sz w:val="24"/>
          <w:szCs w:val="24"/>
          <w:lang w:eastAsia="en-IN"/>
        </w:rPr>
        <w:t xml:space="preserve">ased on this data we calculated Rd </w:t>
      </w:r>
      <w:r w:rsidRPr="00A613A8">
        <w:rPr>
          <w:rFonts w:eastAsia="Times New Roman" w:cstheme="minorHAnsi"/>
          <w:color w:val="000000"/>
          <w:sz w:val="24"/>
          <w:szCs w:val="24"/>
          <w:lang w:eastAsia="en-IN"/>
        </w:rPr>
        <w:t>as 6.688%</w:t>
      </w:r>
    </w:p>
    <w:p w14:paraId="069754FF" w14:textId="0CA7FC5B" w:rsidR="00AF7EE5" w:rsidRPr="00A613A8" w:rsidRDefault="00AF7EE5" w:rsidP="00A613A8">
      <w:pPr>
        <w:spacing w:line="360" w:lineRule="auto"/>
        <w:rPr>
          <w:rFonts w:eastAsia="Times New Roman" w:cstheme="minorHAnsi"/>
          <w:color w:val="000000"/>
          <w:sz w:val="24"/>
          <w:szCs w:val="24"/>
          <w:lang w:eastAsia="en-IN"/>
        </w:rPr>
      </w:pPr>
      <w:r w:rsidRPr="00A613A8">
        <w:rPr>
          <w:rFonts w:eastAsia="Times New Roman" w:cstheme="minorHAnsi"/>
          <w:b/>
          <w:bCs/>
          <w:color w:val="000000"/>
          <w:sz w:val="24"/>
          <w:szCs w:val="24"/>
          <w:lang w:eastAsia="en-IN"/>
        </w:rPr>
        <w:t>Calculating Cost of Equity (Re):</w:t>
      </w:r>
      <w:r w:rsidRPr="00A613A8">
        <w:rPr>
          <w:rFonts w:eastAsia="Times New Roman" w:cstheme="minorHAnsi"/>
          <w:color w:val="000000"/>
          <w:sz w:val="24"/>
          <w:szCs w:val="24"/>
          <w:lang w:eastAsia="en-IN"/>
        </w:rPr>
        <w:t xml:space="preserve"> </w:t>
      </w:r>
    </w:p>
    <w:p w14:paraId="56AF24B2" w14:textId="5953C924" w:rsidR="00AF7EE5" w:rsidRPr="00A613A8" w:rsidRDefault="00AF7EE5"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We used CAPM model to calculate the cost of equity,</w:t>
      </w:r>
    </w:p>
    <w:p w14:paraId="1DF8601A" w14:textId="38189E45" w:rsidR="00AF7EE5" w:rsidRPr="00A613A8" w:rsidRDefault="00AF7EE5" w:rsidP="00A613A8">
      <w:pPr>
        <w:spacing w:line="360" w:lineRule="auto"/>
        <w:rPr>
          <w:rFonts w:eastAsia="Times New Roman" w:cstheme="minorHAnsi"/>
          <w:color w:val="000000"/>
          <w:sz w:val="24"/>
          <w:szCs w:val="24"/>
          <w:lang w:val="sv-SE" w:eastAsia="en-IN"/>
        </w:rPr>
      </w:pPr>
      <w:r w:rsidRPr="00A613A8">
        <w:rPr>
          <w:rFonts w:eastAsia="Times New Roman" w:cstheme="minorHAnsi"/>
          <w:color w:val="000000"/>
          <w:sz w:val="24"/>
          <w:szCs w:val="24"/>
          <w:lang w:val="sv-SE" w:eastAsia="en-IN"/>
        </w:rPr>
        <w:t>Re = Rf + Beta*(Rm – Rf)</w:t>
      </w:r>
    </w:p>
    <w:p w14:paraId="2D865A08" w14:textId="37991459" w:rsidR="00AF7EE5" w:rsidRPr="00A613A8" w:rsidRDefault="00AF7EE5" w:rsidP="00DC7492">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Rf = 4.438%</w:t>
      </w:r>
      <w:r w:rsidR="00DC7492">
        <w:rPr>
          <w:rFonts w:eastAsia="Times New Roman" w:cstheme="minorHAnsi"/>
          <w:color w:val="000000"/>
          <w:sz w:val="24"/>
          <w:szCs w:val="24"/>
          <w:lang w:eastAsia="en-IN"/>
        </w:rPr>
        <w:t xml:space="preserve">, </w:t>
      </w:r>
      <w:r w:rsidRPr="00A613A8">
        <w:rPr>
          <w:rFonts w:eastAsia="Times New Roman" w:cstheme="minorHAnsi"/>
          <w:color w:val="000000"/>
          <w:sz w:val="24"/>
          <w:szCs w:val="24"/>
          <w:lang w:eastAsia="en-IN"/>
        </w:rPr>
        <w:t xml:space="preserve">Rm = 7.69% (Last </w:t>
      </w:r>
      <w:r w:rsidR="00A97752" w:rsidRPr="00A613A8">
        <w:rPr>
          <w:rFonts w:eastAsia="Times New Roman" w:cstheme="minorHAnsi"/>
          <w:color w:val="000000"/>
          <w:sz w:val="24"/>
          <w:szCs w:val="24"/>
          <w:lang w:eastAsia="en-IN"/>
        </w:rPr>
        <w:t>5-year</w:t>
      </w:r>
      <w:r w:rsidRPr="00A613A8">
        <w:rPr>
          <w:rFonts w:eastAsia="Times New Roman" w:cstheme="minorHAnsi"/>
          <w:color w:val="000000"/>
          <w:sz w:val="24"/>
          <w:szCs w:val="24"/>
          <w:lang w:eastAsia="en-IN"/>
        </w:rPr>
        <w:t xml:space="preserve"> average ASX 200 return)</w:t>
      </w:r>
      <w:r w:rsidR="00DC7492">
        <w:rPr>
          <w:rFonts w:eastAsia="Times New Roman" w:cstheme="minorHAnsi"/>
          <w:color w:val="000000"/>
          <w:sz w:val="24"/>
          <w:szCs w:val="24"/>
          <w:lang w:eastAsia="en-IN"/>
        </w:rPr>
        <w:t xml:space="preserve">, </w:t>
      </w:r>
      <w:r w:rsidRPr="00A613A8">
        <w:rPr>
          <w:rFonts w:eastAsia="Times New Roman" w:cstheme="minorHAnsi"/>
          <w:color w:val="000000"/>
          <w:sz w:val="24"/>
          <w:szCs w:val="24"/>
          <w:lang w:eastAsia="en-IN"/>
        </w:rPr>
        <w:t xml:space="preserve">Beta = 0.8747 (Using regression for RHC </w:t>
      </w:r>
      <w:r w:rsidR="00A97752" w:rsidRPr="00A613A8">
        <w:rPr>
          <w:rFonts w:eastAsia="Times New Roman" w:cstheme="minorHAnsi"/>
          <w:color w:val="000000"/>
          <w:sz w:val="24"/>
          <w:szCs w:val="24"/>
          <w:lang w:eastAsia="en-IN"/>
        </w:rPr>
        <w:t>and</w:t>
      </w:r>
      <w:r w:rsidRPr="00A613A8">
        <w:rPr>
          <w:rFonts w:eastAsia="Times New Roman" w:cstheme="minorHAnsi"/>
          <w:color w:val="000000"/>
          <w:sz w:val="24"/>
          <w:szCs w:val="24"/>
          <w:lang w:eastAsia="en-IN"/>
        </w:rPr>
        <w:t xml:space="preserve"> ASX</w:t>
      </w:r>
      <w:r w:rsidR="001F40E4">
        <w:rPr>
          <w:rFonts w:eastAsia="Times New Roman" w:cstheme="minorHAnsi"/>
          <w:color w:val="000000"/>
          <w:sz w:val="24"/>
          <w:szCs w:val="24"/>
          <w:lang w:eastAsia="en-IN"/>
        </w:rPr>
        <w:t xml:space="preserve"> last 5 years</w:t>
      </w:r>
      <w:r w:rsidRPr="00A613A8">
        <w:rPr>
          <w:rFonts w:eastAsia="Times New Roman" w:cstheme="minorHAnsi"/>
          <w:color w:val="000000"/>
          <w:sz w:val="24"/>
          <w:szCs w:val="24"/>
          <w:lang w:eastAsia="en-IN"/>
        </w:rPr>
        <w:t xml:space="preserve"> returns)</w:t>
      </w:r>
    </w:p>
    <w:p w14:paraId="4C25D5C3" w14:textId="7CFCC541" w:rsidR="00AF7EE5" w:rsidRPr="00A613A8" w:rsidRDefault="00AF7EE5" w:rsidP="00DC7492">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Substituting, we get,</w:t>
      </w:r>
      <w:r w:rsidR="00DC7492">
        <w:rPr>
          <w:rFonts w:eastAsia="Times New Roman" w:cstheme="minorHAnsi"/>
          <w:color w:val="000000"/>
          <w:sz w:val="24"/>
          <w:szCs w:val="24"/>
          <w:lang w:eastAsia="en-IN"/>
        </w:rPr>
        <w:t xml:space="preserve"> </w:t>
      </w:r>
      <w:r w:rsidRPr="00A613A8">
        <w:rPr>
          <w:rFonts w:eastAsia="Times New Roman" w:cstheme="minorHAnsi"/>
          <w:color w:val="000000"/>
          <w:sz w:val="24"/>
          <w:szCs w:val="24"/>
          <w:lang w:eastAsia="en-IN"/>
        </w:rPr>
        <w:t>Re = 4.438 + 0.8747 * (7.69 – 4.438</w:t>
      </w:r>
      <w:r w:rsidR="00C96D3A">
        <w:rPr>
          <w:rFonts w:eastAsia="Times New Roman" w:cstheme="minorHAnsi"/>
          <w:color w:val="000000"/>
          <w:sz w:val="24"/>
          <w:szCs w:val="24"/>
          <w:lang w:eastAsia="en-IN"/>
        </w:rPr>
        <w:t xml:space="preserve">) </w:t>
      </w:r>
      <w:r w:rsidRPr="00A613A8">
        <w:rPr>
          <w:rFonts w:eastAsia="Times New Roman" w:cstheme="minorHAnsi"/>
          <w:color w:val="000000"/>
          <w:sz w:val="24"/>
          <w:szCs w:val="24"/>
          <w:lang w:eastAsia="en-IN"/>
        </w:rPr>
        <w:t>= 7.289%</w:t>
      </w:r>
    </w:p>
    <w:p w14:paraId="55C234A4" w14:textId="03E1E1D9" w:rsidR="00AF7EE5" w:rsidRPr="00A613A8" w:rsidRDefault="004629C5" w:rsidP="00A613A8">
      <w:pPr>
        <w:spacing w:line="360" w:lineRule="auto"/>
        <w:rPr>
          <w:rFonts w:eastAsia="Times New Roman" w:cstheme="minorHAnsi"/>
          <w:b/>
          <w:bCs/>
          <w:color w:val="000000"/>
          <w:sz w:val="24"/>
          <w:szCs w:val="24"/>
          <w:lang w:eastAsia="en-IN"/>
        </w:rPr>
      </w:pPr>
      <w:r w:rsidRPr="00A613A8">
        <w:rPr>
          <w:rFonts w:eastAsia="Times New Roman" w:cstheme="minorHAnsi"/>
          <w:b/>
          <w:bCs/>
          <w:color w:val="000000"/>
          <w:sz w:val="24"/>
          <w:szCs w:val="24"/>
          <w:lang w:eastAsia="en-IN"/>
        </w:rPr>
        <w:t>WACC:</w:t>
      </w:r>
    </w:p>
    <w:p w14:paraId="61AB2E15" w14:textId="45EC79CA" w:rsidR="004629C5" w:rsidRPr="00A613A8" w:rsidRDefault="009C1109"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 xml:space="preserve">To calculate the Weighted Average Cost of Capital (WACC), you need to consider both the cost of equity (Re) and the cost of debt (Rd) and then weigh them by their respective proportions in the capital structure. </w:t>
      </w:r>
    </w:p>
    <w:p w14:paraId="22FAC4A6" w14:textId="7E282E96" w:rsidR="009C1109" w:rsidRPr="00A613A8" w:rsidRDefault="009C1109"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 xml:space="preserve">Based on Re, Rd and effective tax rate of 31.5% we get </w:t>
      </w:r>
      <w:proofErr w:type="spellStart"/>
      <w:r w:rsidRPr="00A613A8">
        <w:rPr>
          <w:rFonts w:eastAsia="Times New Roman" w:cstheme="minorHAnsi"/>
          <w:color w:val="000000"/>
          <w:sz w:val="24"/>
          <w:szCs w:val="24"/>
          <w:lang w:eastAsia="en-IN"/>
        </w:rPr>
        <w:t>Rwacc</w:t>
      </w:r>
      <w:proofErr w:type="spellEnd"/>
      <w:r w:rsidRPr="00A613A8">
        <w:rPr>
          <w:rFonts w:eastAsia="Times New Roman" w:cstheme="minorHAnsi"/>
          <w:color w:val="000000"/>
          <w:sz w:val="24"/>
          <w:szCs w:val="24"/>
          <w:lang w:eastAsia="en-IN"/>
        </w:rPr>
        <w:t xml:space="preserve"> as 0.0603</w:t>
      </w:r>
    </w:p>
    <w:p w14:paraId="70EDA0A2" w14:textId="54DFE1A4" w:rsidR="00861046" w:rsidRPr="00A613A8" w:rsidRDefault="009C1109" w:rsidP="00A613A8">
      <w:pPr>
        <w:spacing w:line="360" w:lineRule="auto"/>
        <w:rPr>
          <w:rFonts w:eastAsia="Times New Roman" w:cstheme="minorHAnsi"/>
          <w:b/>
          <w:bCs/>
          <w:color w:val="000000"/>
          <w:sz w:val="24"/>
          <w:szCs w:val="24"/>
          <w:lang w:eastAsia="en-IN"/>
        </w:rPr>
      </w:pPr>
      <w:r w:rsidRPr="00A613A8">
        <w:rPr>
          <w:rFonts w:eastAsia="Times New Roman" w:cstheme="minorHAnsi"/>
          <w:b/>
          <w:bCs/>
          <w:color w:val="000000"/>
          <w:sz w:val="24"/>
          <w:szCs w:val="24"/>
          <w:lang w:eastAsia="en-IN"/>
        </w:rPr>
        <w:t>PV of Interest Tax Shield:</w:t>
      </w:r>
    </w:p>
    <w:p w14:paraId="31F23723" w14:textId="6EF8A92A" w:rsidR="00132B64" w:rsidRPr="00A613A8" w:rsidRDefault="009C1109"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It is the product of Total Debt and effective tax rate, assuming debt to be constant throughout the life we get,</w:t>
      </w:r>
    </w:p>
    <w:p w14:paraId="212DADE7" w14:textId="142DDADD" w:rsidR="009C1109" w:rsidRPr="00A613A8" w:rsidRDefault="009C1109"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PV of Interest Tax Shield = 11,887 * 31.5% = 3,750.26</w:t>
      </w:r>
    </w:p>
    <w:p w14:paraId="21C3EAA0" w14:textId="42942A17" w:rsidR="009C1109" w:rsidRPr="00A613A8" w:rsidRDefault="009C1109" w:rsidP="00A613A8">
      <w:pPr>
        <w:spacing w:line="360" w:lineRule="auto"/>
        <w:rPr>
          <w:rFonts w:eastAsia="Times New Roman" w:cstheme="minorHAnsi"/>
          <w:b/>
          <w:bCs/>
          <w:color w:val="000000"/>
          <w:sz w:val="24"/>
          <w:szCs w:val="24"/>
          <w:lang w:eastAsia="en-IN"/>
        </w:rPr>
      </w:pPr>
      <w:r w:rsidRPr="00A613A8">
        <w:rPr>
          <w:rFonts w:eastAsia="Times New Roman" w:cstheme="minorHAnsi"/>
          <w:b/>
          <w:bCs/>
          <w:color w:val="000000"/>
          <w:sz w:val="24"/>
          <w:szCs w:val="24"/>
          <w:lang w:eastAsia="en-IN"/>
        </w:rPr>
        <w:t>PV of Financial Distress Cost:</w:t>
      </w:r>
    </w:p>
    <w:p w14:paraId="035E8462" w14:textId="2FB6FD71" w:rsidR="009C1109" w:rsidRPr="00A613A8" w:rsidRDefault="009C1109"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lastRenderedPageBreak/>
        <w:t>We can calculate financial distress cost by (Rd of AAA company - Rd of RHC) * Debt = (0.75%- 2.25%) * 11,887 which is -178.30.</w:t>
      </w:r>
    </w:p>
    <w:p w14:paraId="12E57095" w14:textId="639EA7FF" w:rsidR="009C1109" w:rsidRPr="00A613A8" w:rsidRDefault="009C1109"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PV of Financial Distress Cost = Financial Distress Cost / WACC</w:t>
      </w:r>
    </w:p>
    <w:p w14:paraId="1DDC504F" w14:textId="7E818145" w:rsidR="00CD65F1" w:rsidRPr="00A613A8" w:rsidRDefault="009C1109" w:rsidP="00C96D3A">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 xml:space="preserve">                                               </w:t>
      </w:r>
      <w:r w:rsidR="003B5B81">
        <w:rPr>
          <w:rFonts w:eastAsia="Times New Roman" w:cstheme="minorHAnsi"/>
          <w:color w:val="000000"/>
          <w:sz w:val="24"/>
          <w:szCs w:val="24"/>
          <w:lang w:eastAsia="en-IN"/>
        </w:rPr>
        <w:t xml:space="preserve">   </w:t>
      </w:r>
      <w:r w:rsidRPr="00A613A8">
        <w:rPr>
          <w:rFonts w:eastAsia="Times New Roman" w:cstheme="minorHAnsi"/>
          <w:color w:val="000000"/>
          <w:sz w:val="24"/>
          <w:szCs w:val="24"/>
          <w:lang w:eastAsia="en-IN"/>
        </w:rPr>
        <w:t xml:space="preserve"> = -178.30 / 6.688%</w:t>
      </w:r>
      <w:r w:rsidR="00C96D3A">
        <w:rPr>
          <w:rFonts w:eastAsia="Times New Roman" w:cstheme="minorHAnsi"/>
          <w:color w:val="000000"/>
          <w:sz w:val="24"/>
          <w:szCs w:val="24"/>
          <w:lang w:eastAsia="en-IN"/>
        </w:rPr>
        <w:t xml:space="preserve"> </w:t>
      </w:r>
      <w:r w:rsidR="00721291" w:rsidRPr="00A613A8">
        <w:rPr>
          <w:rFonts w:eastAsia="Times New Roman" w:cstheme="minorHAnsi"/>
          <w:color w:val="000000"/>
          <w:sz w:val="24"/>
          <w:szCs w:val="24"/>
          <w:lang w:eastAsia="en-IN"/>
        </w:rPr>
        <w:t>= -2,955.86</w:t>
      </w:r>
    </w:p>
    <w:p w14:paraId="5AF83AFC" w14:textId="7FFBAF15" w:rsidR="00C10339" w:rsidRPr="00A613A8" w:rsidRDefault="006459F1"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 xml:space="preserve">Adding </w:t>
      </w:r>
      <w:r w:rsidR="00C10339" w:rsidRPr="00A613A8">
        <w:rPr>
          <w:rFonts w:eastAsia="Times New Roman" w:cstheme="minorHAnsi"/>
          <w:color w:val="000000"/>
          <w:sz w:val="24"/>
          <w:szCs w:val="24"/>
          <w:lang w:eastAsia="en-IN"/>
        </w:rPr>
        <w:t>PV</w:t>
      </w:r>
      <w:r w:rsidRPr="00A613A8">
        <w:rPr>
          <w:rFonts w:eastAsia="Times New Roman" w:cstheme="minorHAnsi"/>
          <w:color w:val="000000"/>
          <w:sz w:val="24"/>
          <w:szCs w:val="24"/>
          <w:lang w:eastAsia="en-IN"/>
        </w:rPr>
        <w:t xml:space="preserve"> of </w:t>
      </w:r>
      <w:r w:rsidR="00C10339" w:rsidRPr="00A613A8">
        <w:rPr>
          <w:rFonts w:eastAsia="Times New Roman" w:cstheme="minorHAnsi"/>
          <w:color w:val="000000"/>
          <w:sz w:val="24"/>
          <w:szCs w:val="24"/>
          <w:lang w:eastAsia="en-IN"/>
        </w:rPr>
        <w:t>interest</w:t>
      </w:r>
      <w:r w:rsidRPr="00A613A8">
        <w:rPr>
          <w:rFonts w:eastAsia="Times New Roman" w:cstheme="minorHAnsi"/>
          <w:color w:val="000000"/>
          <w:sz w:val="24"/>
          <w:szCs w:val="24"/>
          <w:lang w:eastAsia="en-IN"/>
        </w:rPr>
        <w:t xml:space="preserve"> tax shield and </w:t>
      </w:r>
      <w:r w:rsidR="00C10339" w:rsidRPr="00A613A8">
        <w:rPr>
          <w:rFonts w:eastAsia="Times New Roman" w:cstheme="minorHAnsi"/>
          <w:color w:val="000000"/>
          <w:sz w:val="24"/>
          <w:szCs w:val="24"/>
          <w:lang w:eastAsia="en-IN"/>
        </w:rPr>
        <w:t>PV</w:t>
      </w:r>
      <w:r w:rsidRPr="00A613A8">
        <w:rPr>
          <w:rFonts w:eastAsia="Times New Roman" w:cstheme="minorHAnsi"/>
          <w:color w:val="000000"/>
          <w:sz w:val="24"/>
          <w:szCs w:val="24"/>
          <w:lang w:eastAsia="en-IN"/>
        </w:rPr>
        <w:t xml:space="preserve"> of financial cost of distress we get 794.40</w:t>
      </w:r>
      <w:r w:rsidR="00C10339" w:rsidRPr="00A613A8">
        <w:rPr>
          <w:rFonts w:eastAsia="Times New Roman" w:cstheme="minorHAnsi"/>
          <w:color w:val="000000"/>
          <w:sz w:val="24"/>
          <w:szCs w:val="24"/>
          <w:lang w:eastAsia="en-IN"/>
        </w:rPr>
        <w:t>.</w:t>
      </w:r>
    </w:p>
    <w:p w14:paraId="092307AE" w14:textId="34410EC1" w:rsidR="00C10339" w:rsidRPr="00A613A8" w:rsidRDefault="00C10339"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 xml:space="preserve">Which </w:t>
      </w:r>
      <w:r w:rsidR="005850AB" w:rsidRPr="00A613A8">
        <w:rPr>
          <w:rFonts w:eastAsia="Times New Roman" w:cstheme="minorHAnsi"/>
          <w:color w:val="000000"/>
          <w:sz w:val="24"/>
          <w:szCs w:val="24"/>
          <w:lang w:eastAsia="en-IN"/>
        </w:rPr>
        <w:t>currently means</w:t>
      </w:r>
      <w:r w:rsidRPr="00A613A8">
        <w:rPr>
          <w:rFonts w:eastAsia="Times New Roman" w:cstheme="minorHAnsi"/>
          <w:color w:val="000000"/>
          <w:sz w:val="24"/>
          <w:szCs w:val="24"/>
          <w:lang w:eastAsia="en-IN"/>
        </w:rPr>
        <w:t xml:space="preserve"> the company’s level debt has its advantages.</w:t>
      </w:r>
    </w:p>
    <w:p w14:paraId="1FEA62EC" w14:textId="5AFEC045" w:rsidR="00C10339" w:rsidRPr="00A613A8" w:rsidRDefault="00C10339"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By using solver, it is calculated that if interest coverage ratio of RHC goes to 2.5 then PV of financial cost of distress &gt; PV of interest tax shield indicating that raising more than around 800 million through debt is a bad idea.</w:t>
      </w:r>
    </w:p>
    <w:p w14:paraId="22D02E79" w14:textId="02BB6283" w:rsidR="005850AB" w:rsidRPr="00A613A8" w:rsidRDefault="00C10339" w:rsidP="00A613A8">
      <w:pPr>
        <w:spacing w:line="360" w:lineRule="auto"/>
        <w:rPr>
          <w:rFonts w:eastAsia="Times New Roman" w:cstheme="minorHAnsi"/>
          <w:color w:val="000000"/>
          <w:sz w:val="24"/>
          <w:szCs w:val="24"/>
          <w:lang w:eastAsia="en-IN"/>
        </w:rPr>
      </w:pPr>
      <w:r w:rsidRPr="00A613A8">
        <w:rPr>
          <w:rFonts w:eastAsia="Times New Roman" w:cstheme="minorHAnsi"/>
          <w:color w:val="000000"/>
          <w:sz w:val="24"/>
          <w:szCs w:val="24"/>
          <w:lang w:eastAsia="en-IN"/>
        </w:rPr>
        <w:t>So, for the further financing in 2024 we suggest not to payout any dividends instead reinvest back into the company. Expected 2024 dividend is 237 and raise 800 million through debt and rest through issuing new equity.</w:t>
      </w:r>
      <w:r w:rsidR="008601A8" w:rsidRPr="00A613A8">
        <w:rPr>
          <w:rFonts w:eastAsia="Times New Roman" w:cstheme="minorHAnsi"/>
          <w:color w:val="000000"/>
          <w:sz w:val="24"/>
          <w:szCs w:val="24"/>
          <w:lang w:eastAsia="en-IN"/>
        </w:rPr>
        <w:t xml:space="preserve"> </w:t>
      </w:r>
      <w:r w:rsidR="009D37D7" w:rsidRPr="00A613A8">
        <w:rPr>
          <w:rFonts w:eastAsia="Times New Roman" w:cstheme="minorHAnsi"/>
          <w:color w:val="000000"/>
          <w:sz w:val="24"/>
          <w:szCs w:val="24"/>
          <w:lang w:eastAsia="en-IN"/>
        </w:rPr>
        <w:t>Alternatively,</w:t>
      </w:r>
      <w:r w:rsidR="008601A8" w:rsidRPr="00A613A8">
        <w:rPr>
          <w:rFonts w:eastAsia="Times New Roman" w:cstheme="minorHAnsi"/>
          <w:color w:val="000000"/>
          <w:sz w:val="24"/>
          <w:szCs w:val="24"/>
          <w:lang w:eastAsia="en-IN"/>
        </w:rPr>
        <w:t xml:space="preserve"> the company can do a rights issue to raise capital.</w:t>
      </w:r>
    </w:p>
    <w:p w14:paraId="0ADC5C16" w14:textId="77777777" w:rsidR="003B5B81" w:rsidRDefault="007F726F" w:rsidP="003B5B81">
      <w:pPr>
        <w:spacing w:line="360" w:lineRule="auto"/>
        <w:rPr>
          <w:rFonts w:cstheme="minorHAnsi"/>
          <w:b/>
          <w:bCs/>
          <w:sz w:val="28"/>
          <w:szCs w:val="28"/>
        </w:rPr>
      </w:pPr>
      <w:r w:rsidRPr="00C96D3A">
        <w:rPr>
          <w:rFonts w:cstheme="minorHAnsi"/>
          <w:b/>
          <w:bCs/>
          <w:sz w:val="28"/>
          <w:szCs w:val="28"/>
        </w:rPr>
        <w:t>Payout Decision</w:t>
      </w:r>
      <w:r w:rsidR="00C96D3A">
        <w:rPr>
          <w:rFonts w:cstheme="minorHAnsi"/>
          <w:b/>
          <w:bCs/>
          <w:sz w:val="28"/>
          <w:szCs w:val="28"/>
        </w:rPr>
        <w:t>:</w:t>
      </w:r>
    </w:p>
    <w:p w14:paraId="335452DE" w14:textId="0E6319AB" w:rsidR="00333971" w:rsidRPr="00C96D3A" w:rsidRDefault="007F726F" w:rsidP="003B5B81">
      <w:pPr>
        <w:spacing w:line="360" w:lineRule="auto"/>
        <w:rPr>
          <w:rFonts w:cstheme="minorHAnsi"/>
          <w:b/>
          <w:bCs/>
          <w:sz w:val="28"/>
          <w:szCs w:val="28"/>
        </w:rPr>
      </w:pPr>
      <w:r w:rsidRPr="00A613A8">
        <w:rPr>
          <w:rFonts w:cstheme="minorHAnsi"/>
          <w:sz w:val="24"/>
          <w:szCs w:val="24"/>
        </w:rPr>
        <w:t>Dividend and corporate action.</w:t>
      </w:r>
    </w:p>
    <w:p w14:paraId="079B230A" w14:textId="1C3490DC" w:rsidR="00333971" w:rsidRPr="00A613A8" w:rsidRDefault="00812415" w:rsidP="008E1349">
      <w:pPr>
        <w:spacing w:line="360" w:lineRule="auto"/>
        <w:rPr>
          <w:rFonts w:cstheme="minorHAnsi"/>
          <w:sz w:val="24"/>
          <w:szCs w:val="24"/>
        </w:rPr>
      </w:pPr>
      <w:r w:rsidRPr="00A613A8">
        <w:rPr>
          <w:rFonts w:cstheme="minorHAnsi"/>
          <w:noProof/>
          <w:sz w:val="24"/>
          <w:szCs w:val="24"/>
        </w:rPr>
        <w:drawing>
          <wp:inline distT="0" distB="0" distL="0" distR="0" wp14:anchorId="7381BD4B" wp14:editId="3AF9FEC7">
            <wp:extent cx="1882140" cy="1499870"/>
            <wp:effectExtent l="0" t="0" r="3810" b="5080"/>
            <wp:docPr id="75479185"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9185" name="Picture 1" descr="A screenshot of a graph&#10;&#10;Description automatically generated"/>
                    <pic:cNvPicPr/>
                  </pic:nvPicPr>
                  <pic:blipFill rotWithShape="1">
                    <a:blip r:embed="rId12"/>
                    <a:srcRect t="3113" b="-1"/>
                    <a:stretch/>
                  </pic:blipFill>
                  <pic:spPr bwMode="auto">
                    <a:xfrm>
                      <a:off x="0" y="0"/>
                      <a:ext cx="1902577" cy="1516156"/>
                    </a:xfrm>
                    <a:prstGeom prst="rect">
                      <a:avLst/>
                    </a:prstGeom>
                    <a:ln>
                      <a:noFill/>
                    </a:ln>
                    <a:extLst>
                      <a:ext uri="{53640926-AAD7-44D8-BBD7-CCE9431645EC}">
                        <a14:shadowObscured xmlns:a14="http://schemas.microsoft.com/office/drawing/2010/main"/>
                      </a:ext>
                    </a:extLst>
                  </pic:spPr>
                </pic:pic>
              </a:graphicData>
            </a:graphic>
          </wp:inline>
        </w:drawing>
      </w:r>
      <w:r w:rsidR="00333971" w:rsidRPr="00A613A8">
        <w:rPr>
          <w:rFonts w:cstheme="minorHAnsi"/>
          <w:noProof/>
          <w:sz w:val="24"/>
          <w:szCs w:val="24"/>
        </w:rPr>
        <w:drawing>
          <wp:inline distT="0" distB="0" distL="0" distR="0" wp14:anchorId="1101BD2B" wp14:editId="151071A3">
            <wp:extent cx="1828800" cy="1529837"/>
            <wp:effectExtent l="0" t="0" r="0" b="0"/>
            <wp:docPr id="37082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21025" name=""/>
                    <pic:cNvPicPr/>
                  </pic:nvPicPr>
                  <pic:blipFill rotWithShape="1">
                    <a:blip r:embed="rId13"/>
                    <a:srcRect t="4529"/>
                    <a:stretch/>
                  </pic:blipFill>
                  <pic:spPr bwMode="auto">
                    <a:xfrm>
                      <a:off x="0" y="0"/>
                      <a:ext cx="1836914" cy="1536625"/>
                    </a:xfrm>
                    <a:prstGeom prst="rect">
                      <a:avLst/>
                    </a:prstGeom>
                    <a:ln>
                      <a:noFill/>
                    </a:ln>
                    <a:extLst>
                      <a:ext uri="{53640926-AAD7-44D8-BBD7-CCE9431645EC}">
                        <a14:shadowObscured xmlns:a14="http://schemas.microsoft.com/office/drawing/2010/main"/>
                      </a:ext>
                    </a:extLst>
                  </pic:spPr>
                </pic:pic>
              </a:graphicData>
            </a:graphic>
          </wp:inline>
        </w:drawing>
      </w:r>
      <w:r w:rsidR="00333971" w:rsidRPr="00A613A8">
        <w:rPr>
          <w:rFonts w:cstheme="minorHAnsi"/>
          <w:noProof/>
          <w:sz w:val="24"/>
          <w:szCs w:val="24"/>
        </w:rPr>
        <w:t xml:space="preserve"> </w:t>
      </w:r>
      <w:r w:rsidRPr="00A613A8">
        <w:rPr>
          <w:rFonts w:cstheme="minorHAnsi"/>
          <w:noProof/>
          <w:sz w:val="24"/>
          <w:szCs w:val="24"/>
        </w:rPr>
        <w:drawing>
          <wp:inline distT="0" distB="0" distL="0" distR="0" wp14:anchorId="16DCC9A2" wp14:editId="09337A7D">
            <wp:extent cx="1866900" cy="1533041"/>
            <wp:effectExtent l="0" t="0" r="0" b="0"/>
            <wp:docPr id="984550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50126" name=""/>
                    <pic:cNvPicPr/>
                  </pic:nvPicPr>
                  <pic:blipFill>
                    <a:blip r:embed="rId14"/>
                    <a:stretch>
                      <a:fillRect/>
                    </a:stretch>
                  </pic:blipFill>
                  <pic:spPr>
                    <a:xfrm>
                      <a:off x="0" y="0"/>
                      <a:ext cx="1897412" cy="1558096"/>
                    </a:xfrm>
                    <a:prstGeom prst="rect">
                      <a:avLst/>
                    </a:prstGeom>
                  </pic:spPr>
                </pic:pic>
              </a:graphicData>
            </a:graphic>
          </wp:inline>
        </w:drawing>
      </w:r>
    </w:p>
    <w:p w14:paraId="24E0F491" w14:textId="77777777" w:rsidR="001F40E4" w:rsidRDefault="009D37D7" w:rsidP="004522F0">
      <w:pPr>
        <w:spacing w:line="360" w:lineRule="auto"/>
        <w:rPr>
          <w:rFonts w:cstheme="minorHAnsi"/>
          <w:sz w:val="24"/>
          <w:szCs w:val="24"/>
        </w:rPr>
      </w:pPr>
      <w:r w:rsidRPr="00A613A8">
        <w:rPr>
          <w:rFonts w:cstheme="minorHAnsi"/>
          <w:sz w:val="24"/>
          <w:szCs w:val="24"/>
        </w:rPr>
        <w:t>Negative dividend growth for RHC in comparison to Sonic and Chemed Corporation can be observed from the table</w:t>
      </w:r>
      <w:r w:rsidR="009A373A" w:rsidRPr="00A613A8">
        <w:rPr>
          <w:rFonts w:cstheme="minorHAnsi"/>
          <w:sz w:val="24"/>
          <w:szCs w:val="24"/>
        </w:rPr>
        <w:t>s above</w:t>
      </w:r>
      <w:r w:rsidRPr="00A613A8">
        <w:rPr>
          <w:rFonts w:cstheme="minorHAnsi"/>
          <w:sz w:val="24"/>
          <w:szCs w:val="24"/>
        </w:rPr>
        <w:t>.</w:t>
      </w:r>
      <w:r w:rsidR="00DC7492">
        <w:rPr>
          <w:rFonts w:cstheme="minorHAnsi"/>
          <w:sz w:val="24"/>
          <w:szCs w:val="24"/>
        </w:rPr>
        <w:t xml:space="preserve"> </w:t>
      </w:r>
      <w:r w:rsidR="009A373A" w:rsidRPr="00A613A8">
        <w:rPr>
          <w:rFonts w:cstheme="minorHAnsi"/>
          <w:sz w:val="24"/>
          <w:szCs w:val="24"/>
        </w:rPr>
        <w:t xml:space="preserve">Ramsey’s DPS summary is given below. </w:t>
      </w:r>
    </w:p>
    <w:p w14:paraId="2B5B14ED" w14:textId="23716E6F" w:rsidR="001F40E4" w:rsidRDefault="001F40E4" w:rsidP="004522F0">
      <w:pPr>
        <w:spacing w:line="360" w:lineRule="auto"/>
        <w:rPr>
          <w:rFonts w:cstheme="minorHAnsi"/>
          <w:sz w:val="24"/>
          <w:szCs w:val="24"/>
        </w:rPr>
      </w:pPr>
      <w:r>
        <w:rPr>
          <w:rFonts w:cstheme="minorHAnsi"/>
          <w:sz w:val="24"/>
          <w:szCs w:val="24"/>
        </w:rPr>
        <w:t xml:space="preserve">                                        </w:t>
      </w:r>
      <w:r w:rsidRPr="001F40E4">
        <w:rPr>
          <w:rFonts w:cstheme="minorHAnsi"/>
          <w:noProof/>
          <w:sz w:val="24"/>
          <w:szCs w:val="24"/>
        </w:rPr>
        <w:drawing>
          <wp:inline distT="0" distB="0" distL="0" distR="0" wp14:anchorId="52C6A4BF" wp14:editId="16EC4929">
            <wp:extent cx="2781300" cy="390525"/>
            <wp:effectExtent l="0" t="0" r="0" b="9525"/>
            <wp:docPr id="323011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390525"/>
                    </a:xfrm>
                    <a:prstGeom prst="rect">
                      <a:avLst/>
                    </a:prstGeom>
                    <a:noFill/>
                    <a:ln>
                      <a:noFill/>
                    </a:ln>
                  </pic:spPr>
                </pic:pic>
              </a:graphicData>
            </a:graphic>
          </wp:inline>
        </w:drawing>
      </w:r>
    </w:p>
    <w:p w14:paraId="520C0001" w14:textId="01409000" w:rsidR="004522F0" w:rsidRDefault="009A373A" w:rsidP="004522F0">
      <w:pPr>
        <w:spacing w:line="360" w:lineRule="auto"/>
        <w:rPr>
          <w:rFonts w:cstheme="minorHAnsi"/>
          <w:sz w:val="24"/>
          <w:szCs w:val="24"/>
        </w:rPr>
      </w:pPr>
      <w:r w:rsidRPr="00A613A8">
        <w:rPr>
          <w:rFonts w:cstheme="minorHAnsi"/>
          <w:sz w:val="24"/>
          <w:szCs w:val="24"/>
        </w:rPr>
        <w:lastRenderedPageBreak/>
        <w:t xml:space="preserve">The general trend has been a decrease in dividends over the last few terms </w:t>
      </w:r>
      <w:r w:rsidR="006B5FE8" w:rsidRPr="00A613A8">
        <w:rPr>
          <w:rFonts w:cstheme="minorHAnsi"/>
          <w:sz w:val="24"/>
          <w:szCs w:val="24"/>
        </w:rPr>
        <w:t xml:space="preserve">which is consistent with our findings that Ramsey should recapitalise. </w:t>
      </w:r>
      <w:r w:rsidR="00B2421E">
        <w:rPr>
          <w:rFonts w:cstheme="minorHAnsi"/>
          <w:sz w:val="24"/>
          <w:szCs w:val="24"/>
        </w:rPr>
        <w:t>They haven’t engaged in any buybacks over the last 5 years however some funds were raised through private placements.</w:t>
      </w:r>
    </w:p>
    <w:p w14:paraId="2F81C748" w14:textId="3168F62A" w:rsidR="00333971" w:rsidRPr="004522F0" w:rsidRDefault="009D37D7" w:rsidP="004522F0">
      <w:pPr>
        <w:spacing w:line="360" w:lineRule="auto"/>
        <w:rPr>
          <w:rFonts w:cstheme="minorHAnsi"/>
          <w:sz w:val="24"/>
          <w:szCs w:val="24"/>
        </w:rPr>
      </w:pPr>
      <w:r w:rsidRPr="00A613A8">
        <w:rPr>
          <w:sz w:val="24"/>
          <w:szCs w:val="24"/>
        </w:rPr>
        <w:t xml:space="preserve">Chemed has paid of 0.4 million dividends for the last quarter and 0.38 M before that. </w:t>
      </w:r>
      <w:r w:rsidR="00442EE3" w:rsidRPr="00A613A8">
        <w:rPr>
          <w:sz w:val="24"/>
          <w:szCs w:val="24"/>
        </w:rPr>
        <w:t xml:space="preserve">It had been 0.36 M for the majority of 2022 </w:t>
      </w:r>
      <w:r w:rsidRPr="00A613A8">
        <w:rPr>
          <w:sz w:val="24"/>
          <w:szCs w:val="24"/>
        </w:rPr>
        <w:t>They’ve also done considerable share repurchases last year</w:t>
      </w:r>
      <w:r w:rsidR="00442EE3" w:rsidRPr="00A613A8">
        <w:rPr>
          <w:sz w:val="24"/>
          <w:szCs w:val="24"/>
        </w:rPr>
        <w:t xml:space="preserve"> around 1M dollars. All of these had a positive impact on its share price. </w:t>
      </w:r>
    </w:p>
    <w:p w14:paraId="30B3D26A" w14:textId="05104BE2" w:rsidR="009A373A" w:rsidRPr="008E1349" w:rsidRDefault="00442EE3" w:rsidP="008E1349">
      <w:pPr>
        <w:spacing w:line="360" w:lineRule="auto"/>
        <w:rPr>
          <w:sz w:val="24"/>
          <w:szCs w:val="24"/>
        </w:rPr>
      </w:pPr>
      <w:r w:rsidRPr="00A613A8">
        <w:rPr>
          <w:sz w:val="24"/>
          <w:szCs w:val="24"/>
        </w:rPr>
        <w:t xml:space="preserve">Sonic’s </w:t>
      </w:r>
      <w:r w:rsidR="009A373A" w:rsidRPr="00A613A8">
        <w:rPr>
          <w:sz w:val="24"/>
          <w:szCs w:val="24"/>
        </w:rPr>
        <w:t>dividend payout decision varies according to their performance in the respective years. Sonic also engages in M&amp;A transactions quite often and raises capital through private placements in comparison.</w:t>
      </w:r>
    </w:p>
    <w:p w14:paraId="424D662C" w14:textId="50521E06" w:rsidR="00FF0DC5" w:rsidRPr="00FF0DC5" w:rsidRDefault="00FF0DC5" w:rsidP="00A613A8">
      <w:pPr>
        <w:spacing w:line="360" w:lineRule="auto"/>
        <w:rPr>
          <w:sz w:val="24"/>
          <w:szCs w:val="24"/>
        </w:rPr>
      </w:pPr>
      <w:r w:rsidRPr="00FF0DC5">
        <w:rPr>
          <w:sz w:val="24"/>
          <w:szCs w:val="24"/>
        </w:rPr>
        <w:t xml:space="preserve">So, as suggested </w:t>
      </w:r>
      <w:r>
        <w:rPr>
          <w:sz w:val="24"/>
          <w:szCs w:val="24"/>
        </w:rPr>
        <w:t xml:space="preserve">in the financing decision, RHC must decide not to payout any dividend </w:t>
      </w:r>
      <w:r w:rsidR="00917485">
        <w:rPr>
          <w:sz w:val="24"/>
          <w:szCs w:val="24"/>
        </w:rPr>
        <w:t xml:space="preserve">for 2024 </w:t>
      </w:r>
      <w:r>
        <w:rPr>
          <w:sz w:val="24"/>
          <w:szCs w:val="24"/>
        </w:rPr>
        <w:t>and instead reinvest it back into the company for its financing requirements.</w:t>
      </w:r>
    </w:p>
    <w:p w14:paraId="383730A7" w14:textId="364CE172" w:rsidR="007913B0" w:rsidRDefault="008E1349" w:rsidP="007913B0">
      <w:pPr>
        <w:spacing w:line="360" w:lineRule="auto"/>
        <w:rPr>
          <w:sz w:val="24"/>
          <w:szCs w:val="24"/>
        </w:rPr>
      </w:pPr>
      <w:r w:rsidRPr="008E1349">
        <w:rPr>
          <w:b/>
          <w:bCs/>
          <w:sz w:val="28"/>
          <w:szCs w:val="28"/>
        </w:rPr>
        <w:t>Conclusion:</w:t>
      </w:r>
    </w:p>
    <w:p w14:paraId="579F9FF3" w14:textId="022E4467" w:rsidR="00E75DF7" w:rsidRPr="00E75DF7" w:rsidRDefault="00E75DF7" w:rsidP="00E75DF7">
      <w:pPr>
        <w:spacing w:line="360" w:lineRule="auto"/>
        <w:rPr>
          <w:sz w:val="24"/>
          <w:szCs w:val="24"/>
        </w:rPr>
      </w:pPr>
      <w:r w:rsidRPr="00E75DF7">
        <w:rPr>
          <w:sz w:val="24"/>
          <w:szCs w:val="24"/>
        </w:rPr>
        <w:t>RHC's aggressive financing, leaning heavily on debt, has made it financially riskier compared to peers SHL and CHE, as seen in its high debt/equity ratio. This has coincided with a decline in dividends over five years, hinting at a possible need for recapitalization. RHC's ambitious 2024 investment plans necessitate significant funding, estimated at $1734-1964 million. While some bank loan facilities are secured, there's a notable funding gap. Recommendations include cautiously limiting debt financing to around $800 million, reinvesting the anticipated 2024 dividends of $237 million, and considering issuing new equity via a rights issue to cover remaining financial needs.</w:t>
      </w:r>
      <w:r w:rsidR="00587283">
        <w:rPr>
          <w:sz w:val="24"/>
          <w:szCs w:val="24"/>
        </w:rPr>
        <w:t xml:space="preserve"> Although we recommend raising fund through equity instead of debt, it’s not practically possible to raise 1387 million through equity. So RHC should generate a growth in EBIT through the funds they have raised so they can raise equity in future and reduce debt to decrease the financial distress cost of the company.</w:t>
      </w:r>
      <w:r w:rsidRPr="00E75DF7">
        <w:rPr>
          <w:sz w:val="24"/>
          <w:szCs w:val="24"/>
        </w:rPr>
        <w:t xml:space="preserve"> Withholding dividends, given RHC's financial scenario and capital demands, is deemed prudent, contrasting with firms like Chemed that </w:t>
      </w:r>
      <w:r w:rsidRPr="00E75DF7">
        <w:rPr>
          <w:sz w:val="24"/>
          <w:szCs w:val="24"/>
        </w:rPr>
        <w:lastRenderedPageBreak/>
        <w:t>maintain dividend payouts and share repurchases due to a steadier financial stance. Various factors like interest rate fluctuations, global economic conditions, regulatory changes, market perceptions, and dividend expectations could impact RHC's financial strategies and market position, underscoring a need to rebalance its financing towards equity and possibly recapitalize for long-term financial stability.</w:t>
      </w:r>
    </w:p>
    <w:p w14:paraId="21C819C7" w14:textId="77777777" w:rsidR="00E75DF7" w:rsidRDefault="00E75DF7" w:rsidP="00E75DF7">
      <w:pPr>
        <w:spacing w:line="360" w:lineRule="auto"/>
      </w:pPr>
    </w:p>
    <w:p w14:paraId="38E977B3" w14:textId="77777777" w:rsidR="00F260F4" w:rsidRDefault="00F260F4" w:rsidP="00A613A8">
      <w:pPr>
        <w:spacing w:line="360" w:lineRule="auto"/>
        <w:rPr>
          <w:b/>
          <w:bCs/>
          <w:sz w:val="28"/>
          <w:szCs w:val="28"/>
        </w:rPr>
      </w:pPr>
    </w:p>
    <w:p w14:paraId="0A2F1969" w14:textId="77777777" w:rsidR="001F40E4" w:rsidRDefault="001F40E4" w:rsidP="00A613A8">
      <w:pPr>
        <w:spacing w:line="360" w:lineRule="auto"/>
        <w:rPr>
          <w:b/>
          <w:bCs/>
          <w:sz w:val="28"/>
          <w:szCs w:val="28"/>
        </w:rPr>
      </w:pPr>
    </w:p>
    <w:p w14:paraId="1B6DA4C4" w14:textId="77777777" w:rsidR="001F40E4" w:rsidRDefault="001F40E4" w:rsidP="00A613A8">
      <w:pPr>
        <w:spacing w:line="360" w:lineRule="auto"/>
        <w:rPr>
          <w:b/>
          <w:bCs/>
          <w:sz w:val="28"/>
          <w:szCs w:val="28"/>
        </w:rPr>
      </w:pPr>
    </w:p>
    <w:p w14:paraId="5E2B6422" w14:textId="4BEE98ED" w:rsidR="00442EE3" w:rsidRDefault="00C96D3A" w:rsidP="00A613A8">
      <w:pPr>
        <w:spacing w:line="360" w:lineRule="auto"/>
        <w:rPr>
          <w:b/>
          <w:bCs/>
          <w:sz w:val="28"/>
          <w:szCs w:val="28"/>
        </w:rPr>
      </w:pPr>
      <w:r w:rsidRPr="000C0D58">
        <w:rPr>
          <w:b/>
          <w:bCs/>
          <w:sz w:val="28"/>
          <w:szCs w:val="28"/>
        </w:rPr>
        <w:t>Reference:</w:t>
      </w:r>
    </w:p>
    <w:p w14:paraId="3F606D27" w14:textId="77777777" w:rsidR="000C0D58" w:rsidRPr="000C0D58" w:rsidRDefault="000C0D58" w:rsidP="000C0D58">
      <w:pPr>
        <w:pStyle w:val="ListParagraph"/>
        <w:numPr>
          <w:ilvl w:val="0"/>
          <w:numId w:val="27"/>
        </w:numPr>
        <w:spacing w:line="360" w:lineRule="auto"/>
        <w:rPr>
          <w:sz w:val="24"/>
          <w:szCs w:val="24"/>
        </w:rPr>
      </w:pPr>
      <w:r w:rsidRPr="000C0D58">
        <w:rPr>
          <w:sz w:val="24"/>
          <w:szCs w:val="24"/>
        </w:rPr>
        <w:t>Ramsay Health Care. (2023). Annual report 2023. https://www.ramsayhealth.com/globalassets/global/investor-centre/investor-centre-pdfs/rhc-annual-report-2023_final.pdf</w:t>
      </w:r>
    </w:p>
    <w:p w14:paraId="7148592A" w14:textId="082C4A8C" w:rsidR="000C0D58" w:rsidRPr="000C0D58" w:rsidRDefault="000C0D58" w:rsidP="000C0D58">
      <w:pPr>
        <w:pStyle w:val="ListParagraph"/>
        <w:numPr>
          <w:ilvl w:val="0"/>
          <w:numId w:val="27"/>
        </w:numPr>
        <w:spacing w:line="360" w:lineRule="auto"/>
        <w:rPr>
          <w:sz w:val="24"/>
          <w:szCs w:val="24"/>
        </w:rPr>
      </w:pPr>
      <w:r w:rsidRPr="000C0D58">
        <w:rPr>
          <w:sz w:val="24"/>
          <w:szCs w:val="24"/>
        </w:rPr>
        <w:t>Sonic Healthcare. (2023). Annual report 2022. https://investors.sonichealthcare.com/FormBuilder/_Resource/_module/T8Ln_c4ibUqyFnnNe9zNRA/docs/Reports/AR/SHL_AnnualReport_2022.pdf</w:t>
      </w:r>
    </w:p>
    <w:p w14:paraId="7F91A4F4" w14:textId="2FDEC223" w:rsidR="000C0D58" w:rsidRPr="000C0D58" w:rsidRDefault="000C0D58" w:rsidP="000C0D58">
      <w:pPr>
        <w:pStyle w:val="ListParagraph"/>
        <w:numPr>
          <w:ilvl w:val="0"/>
          <w:numId w:val="27"/>
        </w:numPr>
        <w:spacing w:line="360" w:lineRule="auto"/>
        <w:rPr>
          <w:sz w:val="24"/>
          <w:szCs w:val="24"/>
        </w:rPr>
      </w:pPr>
      <w:proofErr w:type="spellStart"/>
      <w:r w:rsidRPr="000C0D58">
        <w:rPr>
          <w:sz w:val="24"/>
          <w:szCs w:val="24"/>
        </w:rPr>
        <w:t>ChemEd</w:t>
      </w:r>
      <w:proofErr w:type="spellEnd"/>
      <w:r w:rsidRPr="000C0D58">
        <w:rPr>
          <w:sz w:val="24"/>
          <w:szCs w:val="24"/>
        </w:rPr>
        <w:t>. (2023). Annual Report 2022. https://www.chemed.com/static-files/0ab96c41-10fa-4246-80d1-a01c34f24a42</w:t>
      </w:r>
    </w:p>
    <w:p w14:paraId="117218DC" w14:textId="77777777" w:rsidR="000C0D58" w:rsidRPr="000C0D58" w:rsidRDefault="000C0D58" w:rsidP="000C0D58">
      <w:pPr>
        <w:pStyle w:val="ListParagraph"/>
        <w:numPr>
          <w:ilvl w:val="0"/>
          <w:numId w:val="27"/>
        </w:numPr>
        <w:spacing w:line="360" w:lineRule="auto"/>
        <w:rPr>
          <w:sz w:val="24"/>
          <w:szCs w:val="24"/>
        </w:rPr>
      </w:pPr>
      <w:r w:rsidRPr="000C0D58">
        <w:rPr>
          <w:sz w:val="24"/>
          <w:szCs w:val="24"/>
        </w:rPr>
        <w:t>Damodaran, A. (n.d.). Data and information on corporate finance. Stern School of Business. https://pages.stern.nyu.edu/~adamodar/New_Home_Page/datafile/ratings.html</w:t>
      </w:r>
    </w:p>
    <w:p w14:paraId="613058E8" w14:textId="77777777" w:rsidR="000C0D58" w:rsidRPr="000C0D58" w:rsidRDefault="000C0D58" w:rsidP="000C0D58">
      <w:pPr>
        <w:pStyle w:val="ListParagraph"/>
        <w:numPr>
          <w:ilvl w:val="0"/>
          <w:numId w:val="27"/>
        </w:numPr>
        <w:spacing w:line="360" w:lineRule="auto"/>
        <w:rPr>
          <w:sz w:val="24"/>
          <w:szCs w:val="24"/>
        </w:rPr>
      </w:pPr>
      <w:r w:rsidRPr="000C0D58">
        <w:rPr>
          <w:sz w:val="24"/>
          <w:szCs w:val="24"/>
        </w:rPr>
        <w:t>McKinsey &amp; Company. (n.d.). What to expect in US healthcare in 2023 and beyond. https://www.mckinsey.com/industries/healthcare/our-insights/what-to-expect-in-us-healthcare-in-2023-and-beyond</w:t>
      </w:r>
    </w:p>
    <w:p w14:paraId="16CFA3D6" w14:textId="77777777" w:rsidR="000C0D58" w:rsidRPr="000C0D58" w:rsidRDefault="000C0D58" w:rsidP="000C0D58">
      <w:pPr>
        <w:pStyle w:val="ListParagraph"/>
        <w:numPr>
          <w:ilvl w:val="0"/>
          <w:numId w:val="27"/>
        </w:numPr>
        <w:spacing w:line="360" w:lineRule="auto"/>
        <w:rPr>
          <w:sz w:val="24"/>
          <w:szCs w:val="24"/>
        </w:rPr>
      </w:pPr>
      <w:r w:rsidRPr="000C0D58">
        <w:rPr>
          <w:sz w:val="24"/>
          <w:szCs w:val="24"/>
        </w:rPr>
        <w:t>Deloitte. (2022). 2023 outlook for health care. https://www2.deloitte.com/us/en/blog/health-care-blog/2022/2023-</w:t>
      </w:r>
      <w:r w:rsidRPr="000C0D58">
        <w:rPr>
          <w:sz w:val="24"/>
          <w:szCs w:val="24"/>
        </w:rPr>
        <w:lastRenderedPageBreak/>
        <w:t>outlook-for-health-care-could-margins-staffing-stall-progress-to-future-of-health.html</w:t>
      </w:r>
    </w:p>
    <w:p w14:paraId="711D0034" w14:textId="77777777" w:rsidR="000C0D58" w:rsidRPr="000C0D58" w:rsidRDefault="000C0D58" w:rsidP="000C0D58">
      <w:pPr>
        <w:pStyle w:val="ListParagraph"/>
        <w:numPr>
          <w:ilvl w:val="0"/>
          <w:numId w:val="27"/>
        </w:numPr>
        <w:spacing w:line="360" w:lineRule="auto"/>
        <w:rPr>
          <w:sz w:val="24"/>
          <w:szCs w:val="24"/>
        </w:rPr>
      </w:pPr>
      <w:r w:rsidRPr="000C0D58">
        <w:rPr>
          <w:sz w:val="24"/>
          <w:szCs w:val="24"/>
        </w:rPr>
        <w:t>J.P. Morgan. (2023, January 19). Healthcare business leaders outlook. https://www.jpmorgan.com/insights/outlook/business-leaders-outlook/healthcare-business-leaders-outlook</w:t>
      </w:r>
    </w:p>
    <w:p w14:paraId="16F76775" w14:textId="77777777" w:rsidR="000C0D58" w:rsidRPr="000C0D58" w:rsidRDefault="000C0D58" w:rsidP="000C0D58">
      <w:pPr>
        <w:pStyle w:val="ListParagraph"/>
        <w:numPr>
          <w:ilvl w:val="0"/>
          <w:numId w:val="27"/>
        </w:numPr>
        <w:spacing w:line="360" w:lineRule="auto"/>
        <w:rPr>
          <w:sz w:val="24"/>
          <w:szCs w:val="24"/>
        </w:rPr>
      </w:pPr>
      <w:r w:rsidRPr="000C0D58">
        <w:rPr>
          <w:sz w:val="24"/>
          <w:szCs w:val="24"/>
        </w:rPr>
        <w:t>IBISWorld. (n.d.). Health services market size. https://www.ibisworld.com/au/market-size/health-services/</w:t>
      </w:r>
    </w:p>
    <w:p w14:paraId="2C48B2E5" w14:textId="77777777" w:rsidR="000C0D58" w:rsidRPr="000C0D58" w:rsidRDefault="000C0D58" w:rsidP="000C0D58">
      <w:pPr>
        <w:pStyle w:val="ListParagraph"/>
        <w:numPr>
          <w:ilvl w:val="0"/>
          <w:numId w:val="27"/>
        </w:numPr>
        <w:spacing w:line="360" w:lineRule="auto"/>
        <w:rPr>
          <w:sz w:val="24"/>
          <w:szCs w:val="24"/>
        </w:rPr>
      </w:pPr>
      <w:r w:rsidRPr="000C0D58">
        <w:rPr>
          <w:sz w:val="24"/>
          <w:szCs w:val="24"/>
        </w:rPr>
        <w:t>Parliamentary Library. (n.d.). Health overview: Budget review 2022-23. https://www.aph.gov.au/About_Parliament/Parliamentary_Departments/Parliamentary_Library/pubs/rp/BudgetReview202223/HealthOverview</w:t>
      </w:r>
    </w:p>
    <w:p w14:paraId="76483044" w14:textId="22515E28" w:rsidR="00A613A8" w:rsidRPr="00492FAF" w:rsidRDefault="000C0D58" w:rsidP="00492FAF">
      <w:pPr>
        <w:pStyle w:val="ListParagraph"/>
        <w:numPr>
          <w:ilvl w:val="0"/>
          <w:numId w:val="27"/>
        </w:numPr>
        <w:spacing w:line="360" w:lineRule="auto"/>
        <w:rPr>
          <w:sz w:val="24"/>
          <w:szCs w:val="24"/>
        </w:rPr>
      </w:pPr>
      <w:r w:rsidRPr="000C0D58">
        <w:rPr>
          <w:sz w:val="24"/>
          <w:szCs w:val="24"/>
        </w:rPr>
        <w:t>PwC Australia. (n.d.). Australian mergers and acquisitions outlook: Health. https://www.pwc.com.au/deals/australian-mergers-and-acquisitions-outlook-industry-insights/health.html</w:t>
      </w:r>
    </w:p>
    <w:sectPr w:rsidR="00A613A8" w:rsidRPr="00492FAF" w:rsidSect="00F00A08">
      <w:pgSz w:w="11906" w:h="16838"/>
      <w:pgMar w:top="1418" w:right="1418" w:bottom="1418" w:left="1418"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32C2"/>
    <w:multiLevelType w:val="multilevel"/>
    <w:tmpl w:val="0310E5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C90606"/>
    <w:multiLevelType w:val="multilevel"/>
    <w:tmpl w:val="0310E5CC"/>
    <w:numStyleLink w:val="Style1"/>
  </w:abstractNum>
  <w:abstractNum w:abstractNumId="2" w15:restartNumberingAfterBreak="0">
    <w:nsid w:val="0A2A2908"/>
    <w:multiLevelType w:val="hybridMultilevel"/>
    <w:tmpl w:val="B3CC34B4"/>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0B52694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002116"/>
    <w:multiLevelType w:val="hybridMultilevel"/>
    <w:tmpl w:val="05FAA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2E4C3E"/>
    <w:multiLevelType w:val="multilevel"/>
    <w:tmpl w:val="0310E5CC"/>
    <w:styleLink w:val="Styl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746207"/>
    <w:multiLevelType w:val="hybridMultilevel"/>
    <w:tmpl w:val="F712124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CC6F82"/>
    <w:multiLevelType w:val="hybridMultilevel"/>
    <w:tmpl w:val="41DC0BA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07BCF"/>
    <w:multiLevelType w:val="hybridMultilevel"/>
    <w:tmpl w:val="145C6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F0470"/>
    <w:multiLevelType w:val="hybridMultilevel"/>
    <w:tmpl w:val="D4C2B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3602FA0"/>
    <w:multiLevelType w:val="hybridMultilevel"/>
    <w:tmpl w:val="AE1CD9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CB3B94"/>
    <w:multiLevelType w:val="multilevel"/>
    <w:tmpl w:val="0310E5CC"/>
    <w:numStyleLink w:val="Style1"/>
  </w:abstractNum>
  <w:abstractNum w:abstractNumId="12" w15:restartNumberingAfterBreak="0">
    <w:nsid w:val="35C33F85"/>
    <w:multiLevelType w:val="hybridMultilevel"/>
    <w:tmpl w:val="23108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D81E24"/>
    <w:multiLevelType w:val="hybridMultilevel"/>
    <w:tmpl w:val="4B043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555CE4"/>
    <w:multiLevelType w:val="hybridMultilevel"/>
    <w:tmpl w:val="C010A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1E7DDA"/>
    <w:multiLevelType w:val="hybridMultilevel"/>
    <w:tmpl w:val="00506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785B66"/>
    <w:multiLevelType w:val="hybridMultilevel"/>
    <w:tmpl w:val="3312C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7929CA"/>
    <w:multiLevelType w:val="hybridMultilevel"/>
    <w:tmpl w:val="C2E8D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8C138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500C1C"/>
    <w:multiLevelType w:val="hybridMultilevel"/>
    <w:tmpl w:val="726E66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BF6901"/>
    <w:multiLevelType w:val="hybridMultilevel"/>
    <w:tmpl w:val="1E40E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402D27"/>
    <w:multiLevelType w:val="hybridMultilevel"/>
    <w:tmpl w:val="F47E1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7254E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8124CF"/>
    <w:multiLevelType w:val="hybridMultilevel"/>
    <w:tmpl w:val="1F4E3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4D549A"/>
    <w:multiLevelType w:val="hybridMultilevel"/>
    <w:tmpl w:val="99E69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E227C0"/>
    <w:multiLevelType w:val="hybridMultilevel"/>
    <w:tmpl w:val="2C96D3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CAE644E"/>
    <w:multiLevelType w:val="hybridMultilevel"/>
    <w:tmpl w:val="A72CB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9573456">
    <w:abstractNumId w:val="13"/>
  </w:num>
  <w:num w:numId="2" w16cid:durableId="1612781705">
    <w:abstractNumId w:val="11"/>
  </w:num>
  <w:num w:numId="3" w16cid:durableId="441613083">
    <w:abstractNumId w:val="5"/>
  </w:num>
  <w:num w:numId="4" w16cid:durableId="1987934182">
    <w:abstractNumId w:val="0"/>
  </w:num>
  <w:num w:numId="5" w16cid:durableId="2084373769">
    <w:abstractNumId w:val="18"/>
  </w:num>
  <w:num w:numId="6" w16cid:durableId="1793985267">
    <w:abstractNumId w:val="10"/>
  </w:num>
  <w:num w:numId="7" w16cid:durableId="365329356">
    <w:abstractNumId w:val="3"/>
  </w:num>
  <w:num w:numId="8" w16cid:durableId="85620262">
    <w:abstractNumId w:val="22"/>
  </w:num>
  <w:num w:numId="9" w16cid:durableId="399643872">
    <w:abstractNumId w:val="1"/>
  </w:num>
  <w:num w:numId="10" w16cid:durableId="962924945">
    <w:abstractNumId w:val="7"/>
  </w:num>
  <w:num w:numId="11" w16cid:durableId="418136308">
    <w:abstractNumId w:val="6"/>
  </w:num>
  <w:num w:numId="12" w16cid:durableId="995954243">
    <w:abstractNumId w:val="19"/>
  </w:num>
  <w:num w:numId="13" w16cid:durableId="2056852898">
    <w:abstractNumId w:val="2"/>
  </w:num>
  <w:num w:numId="14" w16cid:durableId="1664510060">
    <w:abstractNumId w:val="15"/>
  </w:num>
  <w:num w:numId="15" w16cid:durableId="121266155">
    <w:abstractNumId w:val="23"/>
  </w:num>
  <w:num w:numId="16" w16cid:durableId="1512530112">
    <w:abstractNumId w:val="24"/>
  </w:num>
  <w:num w:numId="17" w16cid:durableId="1731348385">
    <w:abstractNumId w:val="9"/>
  </w:num>
  <w:num w:numId="18" w16cid:durableId="2106149275">
    <w:abstractNumId w:val="25"/>
  </w:num>
  <w:num w:numId="19" w16cid:durableId="1103842289">
    <w:abstractNumId w:val="8"/>
  </w:num>
  <w:num w:numId="20" w16cid:durableId="1566599645">
    <w:abstractNumId w:val="4"/>
  </w:num>
  <w:num w:numId="21" w16cid:durableId="1942490480">
    <w:abstractNumId w:val="12"/>
  </w:num>
  <w:num w:numId="22" w16cid:durableId="70008612">
    <w:abstractNumId w:val="26"/>
  </w:num>
  <w:num w:numId="23" w16cid:durableId="1662082232">
    <w:abstractNumId w:val="20"/>
  </w:num>
  <w:num w:numId="24" w16cid:durableId="232008418">
    <w:abstractNumId w:val="21"/>
  </w:num>
  <w:num w:numId="25" w16cid:durableId="1053891653">
    <w:abstractNumId w:val="17"/>
  </w:num>
  <w:num w:numId="26" w16cid:durableId="687366209">
    <w:abstractNumId w:val="16"/>
  </w:num>
  <w:num w:numId="27" w16cid:durableId="360712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79"/>
    <w:rsid w:val="000003AE"/>
    <w:rsid w:val="00041446"/>
    <w:rsid w:val="00064728"/>
    <w:rsid w:val="000C0D58"/>
    <w:rsid w:val="000F053F"/>
    <w:rsid w:val="000F0FE2"/>
    <w:rsid w:val="000F6912"/>
    <w:rsid w:val="00107EFD"/>
    <w:rsid w:val="001141C5"/>
    <w:rsid w:val="00132B64"/>
    <w:rsid w:val="00177B72"/>
    <w:rsid w:val="001F40E4"/>
    <w:rsid w:val="002E5449"/>
    <w:rsid w:val="00301A0A"/>
    <w:rsid w:val="0031293C"/>
    <w:rsid w:val="00330F9A"/>
    <w:rsid w:val="00333971"/>
    <w:rsid w:val="003B0BAC"/>
    <w:rsid w:val="003B5B81"/>
    <w:rsid w:val="00442EE3"/>
    <w:rsid w:val="004522F0"/>
    <w:rsid w:val="004629C5"/>
    <w:rsid w:val="004638B6"/>
    <w:rsid w:val="00492FAF"/>
    <w:rsid w:val="00501FCA"/>
    <w:rsid w:val="00557CCB"/>
    <w:rsid w:val="005850AB"/>
    <w:rsid w:val="005857E9"/>
    <w:rsid w:val="00587283"/>
    <w:rsid w:val="005D2FBA"/>
    <w:rsid w:val="005F3E12"/>
    <w:rsid w:val="006459F1"/>
    <w:rsid w:val="00692B77"/>
    <w:rsid w:val="006A0C83"/>
    <w:rsid w:val="006B2B26"/>
    <w:rsid w:val="006B5FE8"/>
    <w:rsid w:val="00721291"/>
    <w:rsid w:val="007913B0"/>
    <w:rsid w:val="007B607E"/>
    <w:rsid w:val="007D6219"/>
    <w:rsid w:val="007D72D6"/>
    <w:rsid w:val="007F0190"/>
    <w:rsid w:val="007F726F"/>
    <w:rsid w:val="00812415"/>
    <w:rsid w:val="008375CC"/>
    <w:rsid w:val="00851552"/>
    <w:rsid w:val="008601A8"/>
    <w:rsid w:val="00861046"/>
    <w:rsid w:val="008C6E79"/>
    <w:rsid w:val="008E1349"/>
    <w:rsid w:val="009016E1"/>
    <w:rsid w:val="00917485"/>
    <w:rsid w:val="00921ACA"/>
    <w:rsid w:val="00923FCE"/>
    <w:rsid w:val="00940689"/>
    <w:rsid w:val="00973FF4"/>
    <w:rsid w:val="00991A5C"/>
    <w:rsid w:val="009A373A"/>
    <w:rsid w:val="009C1109"/>
    <w:rsid w:val="009C1336"/>
    <w:rsid w:val="009D37D7"/>
    <w:rsid w:val="00A613A8"/>
    <w:rsid w:val="00A746B5"/>
    <w:rsid w:val="00A97752"/>
    <w:rsid w:val="00AC3897"/>
    <w:rsid w:val="00AF76CA"/>
    <w:rsid w:val="00AF7EE5"/>
    <w:rsid w:val="00B00058"/>
    <w:rsid w:val="00B2421E"/>
    <w:rsid w:val="00B518DA"/>
    <w:rsid w:val="00BF0004"/>
    <w:rsid w:val="00C10339"/>
    <w:rsid w:val="00C96D3A"/>
    <w:rsid w:val="00CD63E4"/>
    <w:rsid w:val="00CD65F1"/>
    <w:rsid w:val="00D938F5"/>
    <w:rsid w:val="00DC7492"/>
    <w:rsid w:val="00E75DF7"/>
    <w:rsid w:val="00F00A08"/>
    <w:rsid w:val="00F260F4"/>
    <w:rsid w:val="00F33C41"/>
    <w:rsid w:val="00FF0DC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91C0"/>
  <w15:chartTrackingRefBased/>
  <w15:docId w15:val="{5013F52E-95D2-441D-B3A2-16BC389E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AU" w:eastAsia="zh-TW"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08"/>
  </w:style>
  <w:style w:type="paragraph" w:styleId="Heading1">
    <w:name w:val="heading 1"/>
    <w:basedOn w:val="Normal"/>
    <w:next w:val="Normal"/>
    <w:link w:val="Heading1Char"/>
    <w:uiPriority w:val="9"/>
    <w:qFormat/>
    <w:rsid w:val="00F00A08"/>
    <w:pPr>
      <w:keepNext/>
      <w:keepLines/>
      <w:spacing w:before="320" w:after="80" w:line="240" w:lineRule="auto"/>
      <w:jc w:val="center"/>
      <w:outlineLvl w:val="0"/>
    </w:pPr>
    <w:rPr>
      <w:rFonts w:asciiTheme="majorHAnsi" w:eastAsiaTheme="majorEastAsia" w:hAnsiTheme="majorHAnsi" w:cstheme="majorBidi"/>
      <w:color w:val="AB1E19" w:themeColor="accent1" w:themeShade="BF"/>
      <w:sz w:val="40"/>
      <w:szCs w:val="40"/>
    </w:rPr>
  </w:style>
  <w:style w:type="paragraph" w:styleId="Heading2">
    <w:name w:val="heading 2"/>
    <w:basedOn w:val="Normal"/>
    <w:next w:val="Normal"/>
    <w:link w:val="Heading2Char"/>
    <w:uiPriority w:val="9"/>
    <w:unhideWhenUsed/>
    <w:qFormat/>
    <w:rsid w:val="00F00A0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00A0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00A0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00A0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00A0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00A0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00A0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00A0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552"/>
    <w:pPr>
      <w:ind w:left="720"/>
      <w:contextualSpacing/>
    </w:pPr>
  </w:style>
  <w:style w:type="numbering" w:customStyle="1" w:styleId="Style1">
    <w:name w:val="Style1"/>
    <w:uiPriority w:val="99"/>
    <w:rsid w:val="00851552"/>
    <w:pPr>
      <w:numPr>
        <w:numId w:val="3"/>
      </w:numPr>
    </w:pPr>
  </w:style>
  <w:style w:type="character" w:customStyle="1" w:styleId="description">
    <w:name w:val="description"/>
    <w:basedOn w:val="DefaultParagraphFont"/>
    <w:rsid w:val="00A746B5"/>
  </w:style>
  <w:style w:type="character" w:customStyle="1" w:styleId="Heading1Char">
    <w:name w:val="Heading 1 Char"/>
    <w:basedOn w:val="DefaultParagraphFont"/>
    <w:link w:val="Heading1"/>
    <w:uiPriority w:val="9"/>
    <w:rsid w:val="00F00A08"/>
    <w:rPr>
      <w:rFonts w:asciiTheme="majorHAnsi" w:eastAsiaTheme="majorEastAsia" w:hAnsiTheme="majorHAnsi" w:cstheme="majorBidi"/>
      <w:color w:val="AB1E19" w:themeColor="accent1" w:themeShade="BF"/>
      <w:sz w:val="40"/>
      <w:szCs w:val="40"/>
    </w:rPr>
  </w:style>
  <w:style w:type="character" w:customStyle="1" w:styleId="Heading2Char">
    <w:name w:val="Heading 2 Char"/>
    <w:basedOn w:val="DefaultParagraphFont"/>
    <w:link w:val="Heading2"/>
    <w:uiPriority w:val="9"/>
    <w:rsid w:val="00F00A0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00A0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00A0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00A0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00A0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00A0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00A0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00A08"/>
    <w:rPr>
      <w:b/>
      <w:bCs/>
      <w:i/>
      <w:iCs/>
    </w:rPr>
  </w:style>
  <w:style w:type="paragraph" w:styleId="Caption">
    <w:name w:val="caption"/>
    <w:basedOn w:val="Normal"/>
    <w:next w:val="Normal"/>
    <w:uiPriority w:val="35"/>
    <w:semiHidden/>
    <w:unhideWhenUsed/>
    <w:qFormat/>
    <w:rsid w:val="00F00A0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00A08"/>
    <w:pPr>
      <w:pBdr>
        <w:top w:val="single" w:sz="6" w:space="8" w:color="E9BF35" w:themeColor="accent3"/>
        <w:bottom w:val="single" w:sz="6" w:space="8" w:color="E9BF35" w:themeColor="accent3"/>
      </w:pBdr>
      <w:spacing w:after="400" w:line="240" w:lineRule="auto"/>
      <w:contextualSpacing/>
      <w:jc w:val="center"/>
    </w:pPr>
    <w:rPr>
      <w:rFonts w:asciiTheme="majorHAnsi" w:eastAsiaTheme="majorEastAsia" w:hAnsiTheme="majorHAnsi" w:cstheme="majorBidi"/>
      <w:caps/>
      <w:color w:val="454545" w:themeColor="text2"/>
      <w:spacing w:val="30"/>
      <w:sz w:val="72"/>
      <w:szCs w:val="72"/>
    </w:rPr>
  </w:style>
  <w:style w:type="character" w:customStyle="1" w:styleId="TitleChar">
    <w:name w:val="Title Char"/>
    <w:basedOn w:val="DefaultParagraphFont"/>
    <w:link w:val="Title"/>
    <w:uiPriority w:val="10"/>
    <w:rsid w:val="00F00A08"/>
    <w:rPr>
      <w:rFonts w:asciiTheme="majorHAnsi" w:eastAsiaTheme="majorEastAsia" w:hAnsiTheme="majorHAnsi" w:cstheme="majorBidi"/>
      <w:caps/>
      <w:color w:val="454545" w:themeColor="text2"/>
      <w:spacing w:val="30"/>
      <w:sz w:val="72"/>
      <w:szCs w:val="72"/>
    </w:rPr>
  </w:style>
  <w:style w:type="paragraph" w:styleId="Subtitle">
    <w:name w:val="Subtitle"/>
    <w:basedOn w:val="Normal"/>
    <w:next w:val="Normal"/>
    <w:link w:val="SubtitleChar"/>
    <w:uiPriority w:val="11"/>
    <w:qFormat/>
    <w:rsid w:val="00F00A08"/>
    <w:pPr>
      <w:numPr>
        <w:ilvl w:val="1"/>
      </w:numPr>
      <w:jc w:val="center"/>
    </w:pPr>
    <w:rPr>
      <w:color w:val="454545" w:themeColor="text2"/>
      <w:sz w:val="28"/>
      <w:szCs w:val="28"/>
    </w:rPr>
  </w:style>
  <w:style w:type="character" w:customStyle="1" w:styleId="SubtitleChar">
    <w:name w:val="Subtitle Char"/>
    <w:basedOn w:val="DefaultParagraphFont"/>
    <w:link w:val="Subtitle"/>
    <w:uiPriority w:val="11"/>
    <w:rsid w:val="00F00A08"/>
    <w:rPr>
      <w:color w:val="454545" w:themeColor="text2"/>
      <w:sz w:val="28"/>
      <w:szCs w:val="28"/>
    </w:rPr>
  </w:style>
  <w:style w:type="character" w:styleId="Strong">
    <w:name w:val="Strong"/>
    <w:basedOn w:val="DefaultParagraphFont"/>
    <w:uiPriority w:val="22"/>
    <w:qFormat/>
    <w:rsid w:val="00F00A08"/>
    <w:rPr>
      <w:b/>
      <w:bCs/>
    </w:rPr>
  </w:style>
  <w:style w:type="character" w:styleId="Emphasis">
    <w:name w:val="Emphasis"/>
    <w:basedOn w:val="DefaultParagraphFont"/>
    <w:uiPriority w:val="20"/>
    <w:qFormat/>
    <w:rsid w:val="00F00A08"/>
    <w:rPr>
      <w:i/>
      <w:iCs/>
      <w:color w:val="000000" w:themeColor="text1"/>
    </w:rPr>
  </w:style>
  <w:style w:type="paragraph" w:styleId="NoSpacing">
    <w:name w:val="No Spacing"/>
    <w:link w:val="NoSpacingChar"/>
    <w:uiPriority w:val="1"/>
    <w:qFormat/>
    <w:rsid w:val="00F00A08"/>
    <w:pPr>
      <w:spacing w:after="0" w:line="240" w:lineRule="auto"/>
    </w:pPr>
  </w:style>
  <w:style w:type="paragraph" w:styleId="Quote">
    <w:name w:val="Quote"/>
    <w:basedOn w:val="Normal"/>
    <w:next w:val="Normal"/>
    <w:link w:val="QuoteChar"/>
    <w:uiPriority w:val="29"/>
    <w:qFormat/>
    <w:rsid w:val="00F00A08"/>
    <w:pPr>
      <w:spacing w:before="160"/>
      <w:ind w:left="720" w:right="720"/>
      <w:jc w:val="center"/>
    </w:pPr>
    <w:rPr>
      <w:i/>
      <w:iCs/>
      <w:color w:val="C09815" w:themeColor="accent3" w:themeShade="BF"/>
      <w:sz w:val="24"/>
      <w:szCs w:val="24"/>
    </w:rPr>
  </w:style>
  <w:style w:type="character" w:customStyle="1" w:styleId="QuoteChar">
    <w:name w:val="Quote Char"/>
    <w:basedOn w:val="DefaultParagraphFont"/>
    <w:link w:val="Quote"/>
    <w:uiPriority w:val="29"/>
    <w:rsid w:val="00F00A08"/>
    <w:rPr>
      <w:i/>
      <w:iCs/>
      <w:color w:val="C09815" w:themeColor="accent3" w:themeShade="BF"/>
      <w:sz w:val="24"/>
      <w:szCs w:val="24"/>
    </w:rPr>
  </w:style>
  <w:style w:type="paragraph" w:styleId="IntenseQuote">
    <w:name w:val="Intense Quote"/>
    <w:basedOn w:val="Normal"/>
    <w:next w:val="Normal"/>
    <w:link w:val="IntenseQuoteChar"/>
    <w:uiPriority w:val="30"/>
    <w:qFormat/>
    <w:rsid w:val="00F00A08"/>
    <w:pPr>
      <w:spacing w:before="160" w:line="276" w:lineRule="auto"/>
      <w:ind w:left="936" w:right="936"/>
      <w:jc w:val="center"/>
    </w:pPr>
    <w:rPr>
      <w:rFonts w:asciiTheme="majorHAnsi" w:eastAsiaTheme="majorEastAsia" w:hAnsiTheme="majorHAnsi" w:cstheme="majorBidi"/>
      <w:caps/>
      <w:color w:val="AB1E19" w:themeColor="accent1" w:themeShade="BF"/>
      <w:sz w:val="28"/>
      <w:szCs w:val="28"/>
    </w:rPr>
  </w:style>
  <w:style w:type="character" w:customStyle="1" w:styleId="IntenseQuoteChar">
    <w:name w:val="Intense Quote Char"/>
    <w:basedOn w:val="DefaultParagraphFont"/>
    <w:link w:val="IntenseQuote"/>
    <w:uiPriority w:val="30"/>
    <w:rsid w:val="00F00A08"/>
    <w:rPr>
      <w:rFonts w:asciiTheme="majorHAnsi" w:eastAsiaTheme="majorEastAsia" w:hAnsiTheme="majorHAnsi" w:cstheme="majorBidi"/>
      <w:caps/>
      <w:color w:val="AB1E19" w:themeColor="accent1" w:themeShade="BF"/>
      <w:sz w:val="28"/>
      <w:szCs w:val="28"/>
    </w:rPr>
  </w:style>
  <w:style w:type="character" w:styleId="SubtleEmphasis">
    <w:name w:val="Subtle Emphasis"/>
    <w:basedOn w:val="DefaultParagraphFont"/>
    <w:uiPriority w:val="19"/>
    <w:qFormat/>
    <w:rsid w:val="00F00A08"/>
    <w:rPr>
      <w:i/>
      <w:iCs/>
      <w:color w:val="595959" w:themeColor="text1" w:themeTint="A6"/>
    </w:rPr>
  </w:style>
  <w:style w:type="character" w:styleId="IntenseEmphasis">
    <w:name w:val="Intense Emphasis"/>
    <w:basedOn w:val="DefaultParagraphFont"/>
    <w:uiPriority w:val="21"/>
    <w:qFormat/>
    <w:rsid w:val="00F00A08"/>
    <w:rPr>
      <w:b/>
      <w:bCs/>
      <w:i/>
      <w:iCs/>
      <w:color w:val="auto"/>
    </w:rPr>
  </w:style>
  <w:style w:type="character" w:styleId="SubtleReference">
    <w:name w:val="Subtle Reference"/>
    <w:basedOn w:val="DefaultParagraphFont"/>
    <w:uiPriority w:val="31"/>
    <w:qFormat/>
    <w:rsid w:val="00F00A0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00A08"/>
    <w:rPr>
      <w:b/>
      <w:bCs/>
      <w:caps w:val="0"/>
      <w:smallCaps/>
      <w:color w:val="auto"/>
      <w:spacing w:val="0"/>
      <w:u w:val="single"/>
    </w:rPr>
  </w:style>
  <w:style w:type="character" w:styleId="BookTitle">
    <w:name w:val="Book Title"/>
    <w:basedOn w:val="DefaultParagraphFont"/>
    <w:uiPriority w:val="33"/>
    <w:qFormat/>
    <w:rsid w:val="00F00A08"/>
    <w:rPr>
      <w:b/>
      <w:bCs/>
      <w:caps w:val="0"/>
      <w:smallCaps/>
      <w:spacing w:val="0"/>
    </w:rPr>
  </w:style>
  <w:style w:type="paragraph" w:styleId="TOCHeading">
    <w:name w:val="TOC Heading"/>
    <w:basedOn w:val="Heading1"/>
    <w:next w:val="Normal"/>
    <w:uiPriority w:val="39"/>
    <w:semiHidden/>
    <w:unhideWhenUsed/>
    <w:qFormat/>
    <w:rsid w:val="00F00A08"/>
    <w:pPr>
      <w:outlineLvl w:val="9"/>
    </w:pPr>
  </w:style>
  <w:style w:type="character" w:customStyle="1" w:styleId="NoSpacingChar">
    <w:name w:val="No Spacing Char"/>
    <w:basedOn w:val="DefaultParagraphFont"/>
    <w:link w:val="NoSpacing"/>
    <w:uiPriority w:val="1"/>
    <w:rsid w:val="00F0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2613">
      <w:bodyDiv w:val="1"/>
      <w:marLeft w:val="0"/>
      <w:marRight w:val="0"/>
      <w:marTop w:val="0"/>
      <w:marBottom w:val="0"/>
      <w:divBdr>
        <w:top w:val="none" w:sz="0" w:space="0" w:color="auto"/>
        <w:left w:val="none" w:sz="0" w:space="0" w:color="auto"/>
        <w:bottom w:val="none" w:sz="0" w:space="0" w:color="auto"/>
        <w:right w:val="none" w:sz="0" w:space="0" w:color="auto"/>
      </w:divBdr>
    </w:div>
    <w:div w:id="69280754">
      <w:bodyDiv w:val="1"/>
      <w:marLeft w:val="0"/>
      <w:marRight w:val="0"/>
      <w:marTop w:val="0"/>
      <w:marBottom w:val="0"/>
      <w:divBdr>
        <w:top w:val="none" w:sz="0" w:space="0" w:color="auto"/>
        <w:left w:val="none" w:sz="0" w:space="0" w:color="auto"/>
        <w:bottom w:val="none" w:sz="0" w:space="0" w:color="auto"/>
        <w:right w:val="none" w:sz="0" w:space="0" w:color="auto"/>
      </w:divBdr>
    </w:div>
    <w:div w:id="99230363">
      <w:bodyDiv w:val="1"/>
      <w:marLeft w:val="0"/>
      <w:marRight w:val="0"/>
      <w:marTop w:val="0"/>
      <w:marBottom w:val="0"/>
      <w:divBdr>
        <w:top w:val="none" w:sz="0" w:space="0" w:color="auto"/>
        <w:left w:val="none" w:sz="0" w:space="0" w:color="auto"/>
        <w:bottom w:val="none" w:sz="0" w:space="0" w:color="auto"/>
        <w:right w:val="none" w:sz="0" w:space="0" w:color="auto"/>
      </w:divBdr>
      <w:divsChild>
        <w:div w:id="397020084">
          <w:marLeft w:val="0"/>
          <w:marRight w:val="0"/>
          <w:marTop w:val="0"/>
          <w:marBottom w:val="0"/>
          <w:divBdr>
            <w:top w:val="single" w:sz="2" w:space="0" w:color="auto"/>
            <w:left w:val="single" w:sz="2" w:space="0" w:color="auto"/>
            <w:bottom w:val="single" w:sz="6" w:space="0" w:color="auto"/>
            <w:right w:val="single" w:sz="2" w:space="0" w:color="auto"/>
          </w:divBdr>
          <w:divsChild>
            <w:div w:id="1764033253">
              <w:marLeft w:val="0"/>
              <w:marRight w:val="0"/>
              <w:marTop w:val="100"/>
              <w:marBottom w:val="100"/>
              <w:divBdr>
                <w:top w:val="single" w:sz="2" w:space="0" w:color="D9D9E3"/>
                <w:left w:val="single" w:sz="2" w:space="0" w:color="D9D9E3"/>
                <w:bottom w:val="single" w:sz="2" w:space="0" w:color="D9D9E3"/>
                <w:right w:val="single" w:sz="2" w:space="0" w:color="D9D9E3"/>
              </w:divBdr>
              <w:divsChild>
                <w:div w:id="714433152">
                  <w:marLeft w:val="0"/>
                  <w:marRight w:val="0"/>
                  <w:marTop w:val="0"/>
                  <w:marBottom w:val="0"/>
                  <w:divBdr>
                    <w:top w:val="single" w:sz="2" w:space="0" w:color="D9D9E3"/>
                    <w:left w:val="single" w:sz="2" w:space="0" w:color="D9D9E3"/>
                    <w:bottom w:val="single" w:sz="2" w:space="0" w:color="D9D9E3"/>
                    <w:right w:val="single" w:sz="2" w:space="0" w:color="D9D9E3"/>
                  </w:divBdr>
                  <w:divsChild>
                    <w:div w:id="957250640">
                      <w:marLeft w:val="0"/>
                      <w:marRight w:val="0"/>
                      <w:marTop w:val="0"/>
                      <w:marBottom w:val="0"/>
                      <w:divBdr>
                        <w:top w:val="single" w:sz="2" w:space="0" w:color="D9D9E3"/>
                        <w:left w:val="single" w:sz="2" w:space="0" w:color="D9D9E3"/>
                        <w:bottom w:val="single" w:sz="2" w:space="0" w:color="D9D9E3"/>
                        <w:right w:val="single" w:sz="2" w:space="0" w:color="D9D9E3"/>
                      </w:divBdr>
                      <w:divsChild>
                        <w:div w:id="1566451506">
                          <w:marLeft w:val="0"/>
                          <w:marRight w:val="0"/>
                          <w:marTop w:val="0"/>
                          <w:marBottom w:val="0"/>
                          <w:divBdr>
                            <w:top w:val="single" w:sz="2" w:space="0" w:color="D9D9E3"/>
                            <w:left w:val="single" w:sz="2" w:space="0" w:color="D9D9E3"/>
                            <w:bottom w:val="single" w:sz="2" w:space="0" w:color="D9D9E3"/>
                            <w:right w:val="single" w:sz="2" w:space="0" w:color="D9D9E3"/>
                          </w:divBdr>
                          <w:divsChild>
                            <w:div w:id="1817792383">
                              <w:marLeft w:val="0"/>
                              <w:marRight w:val="0"/>
                              <w:marTop w:val="0"/>
                              <w:marBottom w:val="0"/>
                              <w:divBdr>
                                <w:top w:val="single" w:sz="2" w:space="0" w:color="D9D9E3"/>
                                <w:left w:val="single" w:sz="2" w:space="0" w:color="D9D9E3"/>
                                <w:bottom w:val="single" w:sz="2" w:space="0" w:color="D9D9E3"/>
                                <w:right w:val="single" w:sz="2" w:space="0" w:color="D9D9E3"/>
                              </w:divBdr>
                              <w:divsChild>
                                <w:div w:id="154030685">
                                  <w:marLeft w:val="0"/>
                                  <w:marRight w:val="0"/>
                                  <w:marTop w:val="0"/>
                                  <w:marBottom w:val="0"/>
                                  <w:divBdr>
                                    <w:top w:val="single" w:sz="2" w:space="0" w:color="D9D9E3"/>
                                    <w:left w:val="single" w:sz="2" w:space="0" w:color="D9D9E3"/>
                                    <w:bottom w:val="single" w:sz="2" w:space="0" w:color="D9D9E3"/>
                                    <w:right w:val="single" w:sz="2" w:space="0" w:color="D9D9E3"/>
                                  </w:divBdr>
                                  <w:divsChild>
                                    <w:div w:id="601885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54674471">
      <w:bodyDiv w:val="1"/>
      <w:marLeft w:val="0"/>
      <w:marRight w:val="0"/>
      <w:marTop w:val="0"/>
      <w:marBottom w:val="0"/>
      <w:divBdr>
        <w:top w:val="none" w:sz="0" w:space="0" w:color="auto"/>
        <w:left w:val="none" w:sz="0" w:space="0" w:color="auto"/>
        <w:bottom w:val="none" w:sz="0" w:space="0" w:color="auto"/>
        <w:right w:val="none" w:sz="0" w:space="0" w:color="auto"/>
      </w:divBdr>
    </w:div>
    <w:div w:id="338314038">
      <w:bodyDiv w:val="1"/>
      <w:marLeft w:val="0"/>
      <w:marRight w:val="0"/>
      <w:marTop w:val="0"/>
      <w:marBottom w:val="0"/>
      <w:divBdr>
        <w:top w:val="none" w:sz="0" w:space="0" w:color="auto"/>
        <w:left w:val="none" w:sz="0" w:space="0" w:color="auto"/>
        <w:bottom w:val="none" w:sz="0" w:space="0" w:color="auto"/>
        <w:right w:val="none" w:sz="0" w:space="0" w:color="auto"/>
      </w:divBdr>
    </w:div>
    <w:div w:id="362563906">
      <w:bodyDiv w:val="1"/>
      <w:marLeft w:val="0"/>
      <w:marRight w:val="0"/>
      <w:marTop w:val="0"/>
      <w:marBottom w:val="0"/>
      <w:divBdr>
        <w:top w:val="none" w:sz="0" w:space="0" w:color="auto"/>
        <w:left w:val="none" w:sz="0" w:space="0" w:color="auto"/>
        <w:bottom w:val="none" w:sz="0" w:space="0" w:color="auto"/>
        <w:right w:val="none" w:sz="0" w:space="0" w:color="auto"/>
      </w:divBdr>
    </w:div>
    <w:div w:id="450704227">
      <w:bodyDiv w:val="1"/>
      <w:marLeft w:val="0"/>
      <w:marRight w:val="0"/>
      <w:marTop w:val="0"/>
      <w:marBottom w:val="0"/>
      <w:divBdr>
        <w:top w:val="none" w:sz="0" w:space="0" w:color="auto"/>
        <w:left w:val="none" w:sz="0" w:space="0" w:color="auto"/>
        <w:bottom w:val="none" w:sz="0" w:space="0" w:color="auto"/>
        <w:right w:val="none" w:sz="0" w:space="0" w:color="auto"/>
      </w:divBdr>
    </w:div>
    <w:div w:id="470755007">
      <w:bodyDiv w:val="1"/>
      <w:marLeft w:val="0"/>
      <w:marRight w:val="0"/>
      <w:marTop w:val="0"/>
      <w:marBottom w:val="0"/>
      <w:divBdr>
        <w:top w:val="none" w:sz="0" w:space="0" w:color="auto"/>
        <w:left w:val="none" w:sz="0" w:space="0" w:color="auto"/>
        <w:bottom w:val="none" w:sz="0" w:space="0" w:color="auto"/>
        <w:right w:val="none" w:sz="0" w:space="0" w:color="auto"/>
      </w:divBdr>
    </w:div>
    <w:div w:id="625741433">
      <w:bodyDiv w:val="1"/>
      <w:marLeft w:val="0"/>
      <w:marRight w:val="0"/>
      <w:marTop w:val="0"/>
      <w:marBottom w:val="0"/>
      <w:divBdr>
        <w:top w:val="none" w:sz="0" w:space="0" w:color="auto"/>
        <w:left w:val="none" w:sz="0" w:space="0" w:color="auto"/>
        <w:bottom w:val="none" w:sz="0" w:space="0" w:color="auto"/>
        <w:right w:val="none" w:sz="0" w:space="0" w:color="auto"/>
      </w:divBdr>
    </w:div>
    <w:div w:id="633995725">
      <w:bodyDiv w:val="1"/>
      <w:marLeft w:val="0"/>
      <w:marRight w:val="0"/>
      <w:marTop w:val="0"/>
      <w:marBottom w:val="0"/>
      <w:divBdr>
        <w:top w:val="none" w:sz="0" w:space="0" w:color="auto"/>
        <w:left w:val="none" w:sz="0" w:space="0" w:color="auto"/>
        <w:bottom w:val="none" w:sz="0" w:space="0" w:color="auto"/>
        <w:right w:val="none" w:sz="0" w:space="0" w:color="auto"/>
      </w:divBdr>
    </w:div>
    <w:div w:id="648824394">
      <w:bodyDiv w:val="1"/>
      <w:marLeft w:val="0"/>
      <w:marRight w:val="0"/>
      <w:marTop w:val="0"/>
      <w:marBottom w:val="0"/>
      <w:divBdr>
        <w:top w:val="none" w:sz="0" w:space="0" w:color="auto"/>
        <w:left w:val="none" w:sz="0" w:space="0" w:color="auto"/>
        <w:bottom w:val="none" w:sz="0" w:space="0" w:color="auto"/>
        <w:right w:val="none" w:sz="0" w:space="0" w:color="auto"/>
      </w:divBdr>
      <w:divsChild>
        <w:div w:id="1986273743">
          <w:marLeft w:val="0"/>
          <w:marRight w:val="0"/>
          <w:marTop w:val="0"/>
          <w:marBottom w:val="0"/>
          <w:divBdr>
            <w:top w:val="single" w:sz="2" w:space="0" w:color="auto"/>
            <w:left w:val="single" w:sz="2" w:space="0" w:color="auto"/>
            <w:bottom w:val="single" w:sz="6" w:space="0" w:color="auto"/>
            <w:right w:val="single" w:sz="2" w:space="0" w:color="auto"/>
          </w:divBdr>
          <w:divsChild>
            <w:div w:id="1953971898">
              <w:marLeft w:val="0"/>
              <w:marRight w:val="0"/>
              <w:marTop w:val="100"/>
              <w:marBottom w:val="100"/>
              <w:divBdr>
                <w:top w:val="single" w:sz="2" w:space="0" w:color="D9D9E3"/>
                <w:left w:val="single" w:sz="2" w:space="0" w:color="D9D9E3"/>
                <w:bottom w:val="single" w:sz="2" w:space="0" w:color="D9D9E3"/>
                <w:right w:val="single" w:sz="2" w:space="0" w:color="D9D9E3"/>
              </w:divBdr>
              <w:divsChild>
                <w:div w:id="1164932547">
                  <w:marLeft w:val="0"/>
                  <w:marRight w:val="0"/>
                  <w:marTop w:val="0"/>
                  <w:marBottom w:val="0"/>
                  <w:divBdr>
                    <w:top w:val="single" w:sz="2" w:space="0" w:color="D9D9E3"/>
                    <w:left w:val="single" w:sz="2" w:space="0" w:color="D9D9E3"/>
                    <w:bottom w:val="single" w:sz="2" w:space="0" w:color="D9D9E3"/>
                    <w:right w:val="single" w:sz="2" w:space="0" w:color="D9D9E3"/>
                  </w:divBdr>
                  <w:divsChild>
                    <w:div w:id="1595361937">
                      <w:marLeft w:val="0"/>
                      <w:marRight w:val="0"/>
                      <w:marTop w:val="0"/>
                      <w:marBottom w:val="0"/>
                      <w:divBdr>
                        <w:top w:val="single" w:sz="2" w:space="0" w:color="D9D9E3"/>
                        <w:left w:val="single" w:sz="2" w:space="0" w:color="D9D9E3"/>
                        <w:bottom w:val="single" w:sz="2" w:space="0" w:color="D9D9E3"/>
                        <w:right w:val="single" w:sz="2" w:space="0" w:color="D9D9E3"/>
                      </w:divBdr>
                      <w:divsChild>
                        <w:div w:id="1614440114">
                          <w:marLeft w:val="0"/>
                          <w:marRight w:val="0"/>
                          <w:marTop w:val="0"/>
                          <w:marBottom w:val="0"/>
                          <w:divBdr>
                            <w:top w:val="single" w:sz="2" w:space="0" w:color="D9D9E3"/>
                            <w:left w:val="single" w:sz="2" w:space="0" w:color="D9D9E3"/>
                            <w:bottom w:val="single" w:sz="2" w:space="0" w:color="D9D9E3"/>
                            <w:right w:val="single" w:sz="2" w:space="0" w:color="D9D9E3"/>
                          </w:divBdr>
                          <w:divsChild>
                            <w:div w:id="192349330">
                              <w:marLeft w:val="0"/>
                              <w:marRight w:val="0"/>
                              <w:marTop w:val="0"/>
                              <w:marBottom w:val="0"/>
                              <w:divBdr>
                                <w:top w:val="single" w:sz="2" w:space="0" w:color="D9D9E3"/>
                                <w:left w:val="single" w:sz="2" w:space="0" w:color="D9D9E3"/>
                                <w:bottom w:val="single" w:sz="2" w:space="0" w:color="D9D9E3"/>
                                <w:right w:val="single" w:sz="2" w:space="0" w:color="D9D9E3"/>
                              </w:divBdr>
                              <w:divsChild>
                                <w:div w:id="2109617636">
                                  <w:marLeft w:val="0"/>
                                  <w:marRight w:val="0"/>
                                  <w:marTop w:val="0"/>
                                  <w:marBottom w:val="0"/>
                                  <w:divBdr>
                                    <w:top w:val="single" w:sz="2" w:space="0" w:color="D9D9E3"/>
                                    <w:left w:val="single" w:sz="2" w:space="0" w:color="D9D9E3"/>
                                    <w:bottom w:val="single" w:sz="2" w:space="0" w:color="D9D9E3"/>
                                    <w:right w:val="single" w:sz="2" w:space="0" w:color="D9D9E3"/>
                                  </w:divBdr>
                                  <w:divsChild>
                                    <w:div w:id="832841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62533572">
      <w:bodyDiv w:val="1"/>
      <w:marLeft w:val="0"/>
      <w:marRight w:val="0"/>
      <w:marTop w:val="0"/>
      <w:marBottom w:val="0"/>
      <w:divBdr>
        <w:top w:val="none" w:sz="0" w:space="0" w:color="auto"/>
        <w:left w:val="none" w:sz="0" w:space="0" w:color="auto"/>
        <w:bottom w:val="none" w:sz="0" w:space="0" w:color="auto"/>
        <w:right w:val="none" w:sz="0" w:space="0" w:color="auto"/>
      </w:divBdr>
    </w:div>
    <w:div w:id="769551545">
      <w:bodyDiv w:val="1"/>
      <w:marLeft w:val="0"/>
      <w:marRight w:val="0"/>
      <w:marTop w:val="0"/>
      <w:marBottom w:val="0"/>
      <w:divBdr>
        <w:top w:val="none" w:sz="0" w:space="0" w:color="auto"/>
        <w:left w:val="none" w:sz="0" w:space="0" w:color="auto"/>
        <w:bottom w:val="none" w:sz="0" w:space="0" w:color="auto"/>
        <w:right w:val="none" w:sz="0" w:space="0" w:color="auto"/>
      </w:divBdr>
    </w:div>
    <w:div w:id="808935705">
      <w:bodyDiv w:val="1"/>
      <w:marLeft w:val="0"/>
      <w:marRight w:val="0"/>
      <w:marTop w:val="0"/>
      <w:marBottom w:val="0"/>
      <w:divBdr>
        <w:top w:val="none" w:sz="0" w:space="0" w:color="auto"/>
        <w:left w:val="none" w:sz="0" w:space="0" w:color="auto"/>
        <w:bottom w:val="none" w:sz="0" w:space="0" w:color="auto"/>
        <w:right w:val="none" w:sz="0" w:space="0" w:color="auto"/>
      </w:divBdr>
    </w:div>
    <w:div w:id="839543453">
      <w:bodyDiv w:val="1"/>
      <w:marLeft w:val="0"/>
      <w:marRight w:val="0"/>
      <w:marTop w:val="0"/>
      <w:marBottom w:val="0"/>
      <w:divBdr>
        <w:top w:val="none" w:sz="0" w:space="0" w:color="auto"/>
        <w:left w:val="none" w:sz="0" w:space="0" w:color="auto"/>
        <w:bottom w:val="none" w:sz="0" w:space="0" w:color="auto"/>
        <w:right w:val="none" w:sz="0" w:space="0" w:color="auto"/>
      </w:divBdr>
    </w:div>
    <w:div w:id="895623186">
      <w:bodyDiv w:val="1"/>
      <w:marLeft w:val="0"/>
      <w:marRight w:val="0"/>
      <w:marTop w:val="0"/>
      <w:marBottom w:val="0"/>
      <w:divBdr>
        <w:top w:val="none" w:sz="0" w:space="0" w:color="auto"/>
        <w:left w:val="none" w:sz="0" w:space="0" w:color="auto"/>
        <w:bottom w:val="none" w:sz="0" w:space="0" w:color="auto"/>
        <w:right w:val="none" w:sz="0" w:space="0" w:color="auto"/>
      </w:divBdr>
    </w:div>
    <w:div w:id="917715055">
      <w:bodyDiv w:val="1"/>
      <w:marLeft w:val="0"/>
      <w:marRight w:val="0"/>
      <w:marTop w:val="0"/>
      <w:marBottom w:val="0"/>
      <w:divBdr>
        <w:top w:val="none" w:sz="0" w:space="0" w:color="auto"/>
        <w:left w:val="none" w:sz="0" w:space="0" w:color="auto"/>
        <w:bottom w:val="none" w:sz="0" w:space="0" w:color="auto"/>
        <w:right w:val="none" w:sz="0" w:space="0" w:color="auto"/>
      </w:divBdr>
    </w:div>
    <w:div w:id="1045105327">
      <w:bodyDiv w:val="1"/>
      <w:marLeft w:val="0"/>
      <w:marRight w:val="0"/>
      <w:marTop w:val="0"/>
      <w:marBottom w:val="0"/>
      <w:divBdr>
        <w:top w:val="none" w:sz="0" w:space="0" w:color="auto"/>
        <w:left w:val="none" w:sz="0" w:space="0" w:color="auto"/>
        <w:bottom w:val="none" w:sz="0" w:space="0" w:color="auto"/>
        <w:right w:val="none" w:sz="0" w:space="0" w:color="auto"/>
      </w:divBdr>
    </w:div>
    <w:div w:id="1101876999">
      <w:bodyDiv w:val="1"/>
      <w:marLeft w:val="0"/>
      <w:marRight w:val="0"/>
      <w:marTop w:val="0"/>
      <w:marBottom w:val="0"/>
      <w:divBdr>
        <w:top w:val="none" w:sz="0" w:space="0" w:color="auto"/>
        <w:left w:val="none" w:sz="0" w:space="0" w:color="auto"/>
        <w:bottom w:val="none" w:sz="0" w:space="0" w:color="auto"/>
        <w:right w:val="none" w:sz="0" w:space="0" w:color="auto"/>
      </w:divBdr>
    </w:div>
    <w:div w:id="1134981151">
      <w:bodyDiv w:val="1"/>
      <w:marLeft w:val="0"/>
      <w:marRight w:val="0"/>
      <w:marTop w:val="0"/>
      <w:marBottom w:val="0"/>
      <w:divBdr>
        <w:top w:val="none" w:sz="0" w:space="0" w:color="auto"/>
        <w:left w:val="none" w:sz="0" w:space="0" w:color="auto"/>
        <w:bottom w:val="none" w:sz="0" w:space="0" w:color="auto"/>
        <w:right w:val="none" w:sz="0" w:space="0" w:color="auto"/>
      </w:divBdr>
    </w:div>
    <w:div w:id="1149400657">
      <w:bodyDiv w:val="1"/>
      <w:marLeft w:val="0"/>
      <w:marRight w:val="0"/>
      <w:marTop w:val="0"/>
      <w:marBottom w:val="0"/>
      <w:divBdr>
        <w:top w:val="none" w:sz="0" w:space="0" w:color="auto"/>
        <w:left w:val="none" w:sz="0" w:space="0" w:color="auto"/>
        <w:bottom w:val="none" w:sz="0" w:space="0" w:color="auto"/>
        <w:right w:val="none" w:sz="0" w:space="0" w:color="auto"/>
      </w:divBdr>
    </w:div>
    <w:div w:id="1271160621">
      <w:bodyDiv w:val="1"/>
      <w:marLeft w:val="0"/>
      <w:marRight w:val="0"/>
      <w:marTop w:val="0"/>
      <w:marBottom w:val="0"/>
      <w:divBdr>
        <w:top w:val="none" w:sz="0" w:space="0" w:color="auto"/>
        <w:left w:val="none" w:sz="0" w:space="0" w:color="auto"/>
        <w:bottom w:val="none" w:sz="0" w:space="0" w:color="auto"/>
        <w:right w:val="none" w:sz="0" w:space="0" w:color="auto"/>
      </w:divBdr>
    </w:div>
    <w:div w:id="1505317009">
      <w:bodyDiv w:val="1"/>
      <w:marLeft w:val="0"/>
      <w:marRight w:val="0"/>
      <w:marTop w:val="0"/>
      <w:marBottom w:val="0"/>
      <w:divBdr>
        <w:top w:val="none" w:sz="0" w:space="0" w:color="auto"/>
        <w:left w:val="none" w:sz="0" w:space="0" w:color="auto"/>
        <w:bottom w:val="none" w:sz="0" w:space="0" w:color="auto"/>
        <w:right w:val="none" w:sz="0" w:space="0" w:color="auto"/>
      </w:divBdr>
    </w:div>
    <w:div w:id="1508785979">
      <w:bodyDiv w:val="1"/>
      <w:marLeft w:val="0"/>
      <w:marRight w:val="0"/>
      <w:marTop w:val="0"/>
      <w:marBottom w:val="0"/>
      <w:divBdr>
        <w:top w:val="none" w:sz="0" w:space="0" w:color="auto"/>
        <w:left w:val="none" w:sz="0" w:space="0" w:color="auto"/>
        <w:bottom w:val="none" w:sz="0" w:space="0" w:color="auto"/>
        <w:right w:val="none" w:sz="0" w:space="0" w:color="auto"/>
      </w:divBdr>
    </w:div>
    <w:div w:id="1635016255">
      <w:bodyDiv w:val="1"/>
      <w:marLeft w:val="0"/>
      <w:marRight w:val="0"/>
      <w:marTop w:val="0"/>
      <w:marBottom w:val="0"/>
      <w:divBdr>
        <w:top w:val="none" w:sz="0" w:space="0" w:color="auto"/>
        <w:left w:val="none" w:sz="0" w:space="0" w:color="auto"/>
        <w:bottom w:val="none" w:sz="0" w:space="0" w:color="auto"/>
        <w:right w:val="none" w:sz="0" w:space="0" w:color="auto"/>
      </w:divBdr>
    </w:div>
    <w:div w:id="1669206987">
      <w:bodyDiv w:val="1"/>
      <w:marLeft w:val="0"/>
      <w:marRight w:val="0"/>
      <w:marTop w:val="0"/>
      <w:marBottom w:val="0"/>
      <w:divBdr>
        <w:top w:val="none" w:sz="0" w:space="0" w:color="auto"/>
        <w:left w:val="none" w:sz="0" w:space="0" w:color="auto"/>
        <w:bottom w:val="none" w:sz="0" w:space="0" w:color="auto"/>
        <w:right w:val="none" w:sz="0" w:space="0" w:color="auto"/>
      </w:divBdr>
    </w:div>
    <w:div w:id="1669862030">
      <w:bodyDiv w:val="1"/>
      <w:marLeft w:val="0"/>
      <w:marRight w:val="0"/>
      <w:marTop w:val="0"/>
      <w:marBottom w:val="0"/>
      <w:divBdr>
        <w:top w:val="none" w:sz="0" w:space="0" w:color="auto"/>
        <w:left w:val="none" w:sz="0" w:space="0" w:color="auto"/>
        <w:bottom w:val="none" w:sz="0" w:space="0" w:color="auto"/>
        <w:right w:val="none" w:sz="0" w:space="0" w:color="auto"/>
      </w:divBdr>
    </w:div>
    <w:div w:id="1746955595">
      <w:bodyDiv w:val="1"/>
      <w:marLeft w:val="0"/>
      <w:marRight w:val="0"/>
      <w:marTop w:val="0"/>
      <w:marBottom w:val="0"/>
      <w:divBdr>
        <w:top w:val="none" w:sz="0" w:space="0" w:color="auto"/>
        <w:left w:val="none" w:sz="0" w:space="0" w:color="auto"/>
        <w:bottom w:val="none" w:sz="0" w:space="0" w:color="auto"/>
        <w:right w:val="none" w:sz="0" w:space="0" w:color="auto"/>
      </w:divBdr>
    </w:div>
    <w:div w:id="1777408076">
      <w:bodyDiv w:val="1"/>
      <w:marLeft w:val="0"/>
      <w:marRight w:val="0"/>
      <w:marTop w:val="0"/>
      <w:marBottom w:val="0"/>
      <w:divBdr>
        <w:top w:val="none" w:sz="0" w:space="0" w:color="auto"/>
        <w:left w:val="none" w:sz="0" w:space="0" w:color="auto"/>
        <w:bottom w:val="none" w:sz="0" w:space="0" w:color="auto"/>
        <w:right w:val="none" w:sz="0" w:space="0" w:color="auto"/>
      </w:divBdr>
    </w:div>
    <w:div w:id="200304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emf"/><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53A2E7581B24C74B47A6991EF9E90AA"/>
        <w:category>
          <w:name w:val="General"/>
          <w:gallery w:val="placeholder"/>
        </w:category>
        <w:types>
          <w:type w:val="bbPlcHdr"/>
        </w:types>
        <w:behaviors>
          <w:behavior w:val="content"/>
        </w:behaviors>
        <w:guid w:val="{12E3A5C7-0DFC-445D-9026-98EFF95A2B8F}"/>
      </w:docPartPr>
      <w:docPartBody>
        <w:p w:rsidR="00F118C7" w:rsidRDefault="00F118C7" w:rsidP="00F118C7">
          <w:pPr>
            <w:pStyle w:val="453A2E7581B24C74B47A6991EF9E90AA"/>
          </w:pPr>
          <w:r>
            <w:rPr>
              <w:rFonts w:asciiTheme="majorHAnsi" w:hAnsiTheme="majorHAnsi"/>
              <w:color w:val="FFFFFF" w:themeColor="background1"/>
              <w:sz w:val="96"/>
              <w:szCs w:val="96"/>
            </w:rPr>
            <w:t>[Document title]</w:t>
          </w:r>
        </w:p>
      </w:docPartBody>
    </w:docPart>
    <w:docPart>
      <w:docPartPr>
        <w:name w:val="A011C7521B6E45279C3373D2B5D61B9A"/>
        <w:category>
          <w:name w:val="General"/>
          <w:gallery w:val="placeholder"/>
        </w:category>
        <w:types>
          <w:type w:val="bbPlcHdr"/>
        </w:types>
        <w:behaviors>
          <w:behavior w:val="content"/>
        </w:behaviors>
        <w:guid w:val="{5F0BDE5D-78C8-4C4E-A4AE-0EADA4C674C6}"/>
      </w:docPartPr>
      <w:docPartBody>
        <w:p w:rsidR="00F118C7" w:rsidRDefault="00F118C7" w:rsidP="00F118C7">
          <w:pPr>
            <w:pStyle w:val="A011C7521B6E45279C3373D2B5D61B9A"/>
          </w:pPr>
          <w:r>
            <w:rPr>
              <w:color w:val="FFFFFF" w:themeColor="background1"/>
              <w:sz w:val="32"/>
              <w:szCs w:val="32"/>
            </w:rPr>
            <w:t>[Document subtitle]</w:t>
          </w:r>
        </w:p>
      </w:docPartBody>
    </w:docPart>
    <w:docPart>
      <w:docPartPr>
        <w:name w:val="70070393E7A946CA9F189978FA99F9D8"/>
        <w:category>
          <w:name w:val="General"/>
          <w:gallery w:val="placeholder"/>
        </w:category>
        <w:types>
          <w:type w:val="bbPlcHdr"/>
        </w:types>
        <w:behaviors>
          <w:behavior w:val="content"/>
        </w:behaviors>
        <w:guid w:val="{8426ECB1-270A-4DD6-8979-5B2E4F6463B2}"/>
      </w:docPartPr>
      <w:docPartBody>
        <w:p w:rsidR="00F118C7" w:rsidRDefault="00F118C7" w:rsidP="00F118C7">
          <w:pPr>
            <w:pStyle w:val="70070393E7A946CA9F189978FA99F9D8"/>
          </w:pPr>
          <w:r>
            <w:rPr>
              <w:color w:val="FFFFFF" w:themeColor="background1"/>
            </w:rPr>
            <w:t>[Author name]</w:t>
          </w:r>
        </w:p>
      </w:docPartBody>
    </w:docPart>
    <w:docPart>
      <w:docPartPr>
        <w:name w:val="3933C56E426644FAA50C9F1F04093BF4"/>
        <w:category>
          <w:name w:val="General"/>
          <w:gallery w:val="placeholder"/>
        </w:category>
        <w:types>
          <w:type w:val="bbPlcHdr"/>
        </w:types>
        <w:behaviors>
          <w:behavior w:val="content"/>
        </w:behaviors>
        <w:guid w:val="{58FF5114-4738-4235-9B7A-39C92DCEA0E0}"/>
      </w:docPartPr>
      <w:docPartBody>
        <w:p w:rsidR="00F118C7" w:rsidRDefault="00F118C7" w:rsidP="00F118C7">
          <w:pPr>
            <w:pStyle w:val="3933C56E426644FAA50C9F1F04093BF4"/>
          </w:pPr>
          <w:r>
            <w:rPr>
              <w:color w:val="FFFFFF" w:themeColor="background1"/>
            </w:rPr>
            <w:t>[Date]</w:t>
          </w:r>
        </w:p>
      </w:docPartBody>
    </w:docPart>
    <w:docPart>
      <w:docPartPr>
        <w:name w:val="722AFCE6158F4E57A28805AEF4959BB6"/>
        <w:category>
          <w:name w:val="General"/>
          <w:gallery w:val="placeholder"/>
        </w:category>
        <w:types>
          <w:type w:val="bbPlcHdr"/>
        </w:types>
        <w:behaviors>
          <w:behavior w:val="content"/>
        </w:behaviors>
        <w:guid w:val="{781106B7-3C9C-49F6-BD8C-03FD8B37F961}"/>
      </w:docPartPr>
      <w:docPartBody>
        <w:p w:rsidR="00F118C7" w:rsidRDefault="00F118C7" w:rsidP="00F118C7">
          <w:pPr>
            <w:pStyle w:val="722AFCE6158F4E57A28805AEF4959BB6"/>
          </w:pPr>
          <w:r>
            <w:rPr>
              <w:color w:val="FFFFFF" w:themeColor="background1"/>
            </w:rPr>
            <w:t>[Course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12"/>
    <w:rsid w:val="00100C12"/>
    <w:rsid w:val="003C665A"/>
    <w:rsid w:val="00551A42"/>
    <w:rsid w:val="00921ACA"/>
    <w:rsid w:val="00922467"/>
    <w:rsid w:val="00F118C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C12"/>
    <w:rPr>
      <w:color w:val="808080"/>
    </w:rPr>
  </w:style>
  <w:style w:type="paragraph" w:customStyle="1" w:styleId="D739A5DCDFB64D90BF0D9C9BB00CDC8E">
    <w:name w:val="D739A5DCDFB64D90BF0D9C9BB00CDC8E"/>
    <w:rsid w:val="00100C12"/>
  </w:style>
  <w:style w:type="paragraph" w:customStyle="1" w:styleId="453A2E7581B24C74B47A6991EF9E90AA">
    <w:name w:val="453A2E7581B24C74B47A6991EF9E90AA"/>
    <w:rsid w:val="00F118C7"/>
    <w:pPr>
      <w:spacing w:line="278" w:lineRule="auto"/>
    </w:pPr>
    <w:rPr>
      <w:sz w:val="24"/>
      <w:szCs w:val="24"/>
      <w:lang w:val="en-IN" w:eastAsia="en-IN"/>
    </w:rPr>
  </w:style>
  <w:style w:type="paragraph" w:customStyle="1" w:styleId="A011C7521B6E45279C3373D2B5D61B9A">
    <w:name w:val="A011C7521B6E45279C3373D2B5D61B9A"/>
    <w:rsid w:val="00F118C7"/>
    <w:pPr>
      <w:spacing w:line="278" w:lineRule="auto"/>
    </w:pPr>
    <w:rPr>
      <w:sz w:val="24"/>
      <w:szCs w:val="24"/>
      <w:lang w:val="en-IN" w:eastAsia="en-IN"/>
    </w:rPr>
  </w:style>
  <w:style w:type="paragraph" w:customStyle="1" w:styleId="70070393E7A946CA9F189978FA99F9D8">
    <w:name w:val="70070393E7A946CA9F189978FA99F9D8"/>
    <w:rsid w:val="00F118C7"/>
    <w:pPr>
      <w:spacing w:line="278" w:lineRule="auto"/>
    </w:pPr>
    <w:rPr>
      <w:sz w:val="24"/>
      <w:szCs w:val="24"/>
      <w:lang w:val="en-IN" w:eastAsia="en-IN"/>
    </w:rPr>
  </w:style>
  <w:style w:type="paragraph" w:customStyle="1" w:styleId="3933C56E426644FAA50C9F1F04093BF4">
    <w:name w:val="3933C56E426644FAA50C9F1F04093BF4"/>
    <w:rsid w:val="00F118C7"/>
    <w:pPr>
      <w:spacing w:line="278" w:lineRule="auto"/>
    </w:pPr>
    <w:rPr>
      <w:sz w:val="24"/>
      <w:szCs w:val="24"/>
      <w:lang w:val="en-IN" w:eastAsia="en-IN"/>
    </w:rPr>
  </w:style>
  <w:style w:type="paragraph" w:customStyle="1" w:styleId="722AFCE6158F4E57A28805AEF4959BB6">
    <w:name w:val="722AFCE6158F4E57A28805AEF4959BB6"/>
    <w:rsid w:val="00F118C7"/>
    <w:pPr>
      <w:spacing w:line="278" w:lineRule="auto"/>
    </w:pPr>
    <w:rPr>
      <w:sz w:val="24"/>
      <w:szCs w:val="24"/>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D2144-D20C-4039-8815-FB715388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Ramsey Healthcare</dc:title>
  <dc:subject>Financing and Payout Recommendations</dc:subject>
  <dc:creator>Maitrya Anupam</dc:creator>
  <cp:keywords/>
  <dc:description/>
  <cp:lastModifiedBy>Maitrya Anupam</cp:lastModifiedBy>
  <cp:revision>2</cp:revision>
  <dcterms:created xsi:type="dcterms:W3CDTF">2024-05-23T14:52:00Z</dcterms:created>
  <dcterms:modified xsi:type="dcterms:W3CDTF">2024-05-23T14:52:00Z</dcterms:modified>
  <cp:category>Corporate Finance</cp:category>
</cp:coreProperties>
</file>