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0262" w14:textId="359C09D2" w:rsidR="00E36B28" w:rsidRDefault="005968E2" w:rsidP="005968E2">
      <w:pPr>
        <w:rPr>
          <w:rFonts w:asciiTheme="minorHAnsi" w:hAnsiTheme="minorHAnsi" w:cstheme="minorHAnsi"/>
        </w:rPr>
      </w:pPr>
      <w:r>
        <w:rPr>
          <w:rFonts w:asciiTheme="minorHAnsi" w:hAnsiTheme="minorHAnsi" w:cstheme="minorHAnsi"/>
        </w:rPr>
        <w:t>E</w:t>
      </w:r>
      <w:r w:rsidRPr="00AB1182">
        <w:rPr>
          <w:rFonts w:asciiTheme="minorHAnsi" w:hAnsiTheme="minorHAnsi" w:cstheme="minorHAnsi"/>
        </w:rPr>
        <w:t>xecutive</w:t>
      </w:r>
      <w:r w:rsidR="00E36B28" w:rsidRPr="00AB1182">
        <w:rPr>
          <w:rFonts w:asciiTheme="minorHAnsi" w:hAnsiTheme="minorHAnsi" w:cstheme="minorHAnsi"/>
        </w:rPr>
        <w:t xml:space="preserve"> summary</w:t>
      </w:r>
    </w:p>
    <w:p w14:paraId="60372E5C" w14:textId="77777777" w:rsidR="0061053D" w:rsidRPr="0061053D" w:rsidRDefault="0061053D" w:rsidP="0061053D"/>
    <w:p w14:paraId="2D3AE77B" w14:textId="51BEBFB5" w:rsidR="254058D6" w:rsidRPr="00AB1182" w:rsidRDefault="254058D6" w:rsidP="00305B0C">
      <w:pPr>
        <w:rPr>
          <w:rFonts w:asciiTheme="minorHAnsi" w:eastAsiaTheme="minorEastAsia" w:hAnsiTheme="minorHAnsi" w:cstheme="minorHAnsi"/>
        </w:rPr>
      </w:pPr>
      <w:r w:rsidRPr="00AB1182">
        <w:rPr>
          <w:rFonts w:asciiTheme="minorHAnsi" w:eastAsiaTheme="minorEastAsia" w:hAnsiTheme="minorHAnsi" w:cstheme="minorHAnsi"/>
        </w:rPr>
        <w:t xml:space="preserve">This report investigates effective hedging strategies to manage risks associated with fluctuations in Jet Fuel spot prices. Due to the limited availability of Jet Fuel futures contracts, we are exploring using futures contracts on Heating Oil and Crude Oil (assets correlated with Jet Fuel prices) </w:t>
      </w:r>
      <w:r w:rsidR="24E7CD74" w:rsidRPr="00AB1182">
        <w:rPr>
          <w:rFonts w:asciiTheme="minorHAnsi" w:eastAsiaTheme="minorEastAsia" w:hAnsiTheme="minorHAnsi" w:cstheme="minorHAnsi"/>
        </w:rPr>
        <w:t xml:space="preserve">as a proxy </w:t>
      </w:r>
      <w:r w:rsidRPr="00AB1182">
        <w:rPr>
          <w:rFonts w:asciiTheme="minorHAnsi" w:eastAsiaTheme="minorEastAsia" w:hAnsiTheme="minorHAnsi" w:cstheme="minorHAnsi"/>
        </w:rPr>
        <w:t>for cross-hedging. We analyze three hedge strategies: using Heating Oil futures</w:t>
      </w:r>
      <w:r w:rsidR="18B4925D" w:rsidRPr="00AB1182">
        <w:rPr>
          <w:rFonts w:asciiTheme="minorHAnsi" w:eastAsiaTheme="minorEastAsia" w:hAnsiTheme="minorHAnsi" w:cstheme="minorHAnsi"/>
        </w:rPr>
        <w:t>,</w:t>
      </w:r>
      <w:r w:rsidRPr="00AB1182">
        <w:rPr>
          <w:rFonts w:asciiTheme="minorHAnsi" w:eastAsiaTheme="minorEastAsia" w:hAnsiTheme="minorHAnsi" w:cstheme="minorHAnsi"/>
        </w:rPr>
        <w:t xml:space="preserve"> Crude Oil futures, and a combination of both. Our analysis employs various methods to </w:t>
      </w:r>
      <w:r w:rsidR="60018196" w:rsidRPr="00AB1182">
        <w:rPr>
          <w:rFonts w:asciiTheme="minorHAnsi" w:eastAsiaTheme="minorEastAsia" w:hAnsiTheme="minorHAnsi" w:cstheme="minorHAnsi"/>
        </w:rPr>
        <w:t>find</w:t>
      </w:r>
      <w:r w:rsidRPr="00AB1182">
        <w:rPr>
          <w:rFonts w:asciiTheme="minorHAnsi" w:eastAsiaTheme="minorEastAsia" w:hAnsiTheme="minorHAnsi" w:cstheme="minorHAnsi"/>
        </w:rPr>
        <w:t xml:space="preserve"> the optimal number of futures contracts needed to achieve minimum variance in each strategy across different time periods.</w:t>
      </w:r>
      <w:r w:rsidR="6039EEC4" w:rsidRPr="00AB1182">
        <w:rPr>
          <w:rFonts w:asciiTheme="minorHAnsi" w:eastAsiaTheme="minorEastAsia" w:hAnsiTheme="minorHAnsi" w:cstheme="minorHAnsi"/>
        </w:rPr>
        <w:t xml:space="preserve"> Variance here is a measure of risk</w:t>
      </w:r>
      <w:r w:rsidR="66B2C059" w:rsidRPr="00AB1182">
        <w:rPr>
          <w:rFonts w:asciiTheme="minorHAnsi" w:eastAsiaTheme="minorEastAsia" w:hAnsiTheme="minorHAnsi" w:cstheme="minorHAnsi"/>
        </w:rPr>
        <w:t xml:space="preserve"> of our position.</w:t>
      </w:r>
    </w:p>
    <w:p w14:paraId="5EFF4A7F" w14:textId="4BBFCBF3" w:rsidR="254058D6" w:rsidRPr="00AB1182" w:rsidRDefault="254058D6" w:rsidP="00305B0C">
      <w:pPr>
        <w:rPr>
          <w:rFonts w:asciiTheme="minorHAnsi" w:eastAsiaTheme="minorEastAsia" w:hAnsiTheme="minorHAnsi" w:cstheme="minorHAnsi"/>
        </w:rPr>
      </w:pPr>
      <w:r w:rsidRPr="00AB1182">
        <w:rPr>
          <w:rFonts w:asciiTheme="minorHAnsi" w:eastAsiaTheme="minorEastAsia" w:hAnsiTheme="minorHAnsi" w:cstheme="minorHAnsi"/>
        </w:rPr>
        <w:t xml:space="preserve">Our results </w:t>
      </w:r>
      <w:r w:rsidR="078C4A98" w:rsidRPr="00AB1182">
        <w:rPr>
          <w:rFonts w:asciiTheme="minorHAnsi" w:eastAsiaTheme="minorEastAsia" w:hAnsiTheme="minorHAnsi" w:cstheme="minorHAnsi"/>
        </w:rPr>
        <w:t>show</w:t>
      </w:r>
      <w:r w:rsidRPr="00AB1182">
        <w:rPr>
          <w:rFonts w:asciiTheme="minorHAnsi" w:eastAsiaTheme="minorEastAsia" w:hAnsiTheme="minorHAnsi" w:cstheme="minorHAnsi"/>
        </w:rPr>
        <w:t xml:space="preserve"> that Heating </w:t>
      </w:r>
      <w:proofErr w:type="gramStart"/>
      <w:r w:rsidRPr="00AB1182">
        <w:rPr>
          <w:rFonts w:asciiTheme="minorHAnsi" w:eastAsiaTheme="minorEastAsia" w:hAnsiTheme="minorHAnsi" w:cstheme="minorHAnsi"/>
        </w:rPr>
        <w:t>Oil futures</w:t>
      </w:r>
      <w:proofErr w:type="gramEnd"/>
      <w:r w:rsidRPr="00AB1182">
        <w:rPr>
          <w:rFonts w:asciiTheme="minorHAnsi" w:eastAsiaTheme="minorEastAsia" w:hAnsiTheme="minorHAnsi" w:cstheme="minorHAnsi"/>
        </w:rPr>
        <w:t xml:space="preserve"> consistently deliver the best </w:t>
      </w:r>
      <w:r w:rsidR="0A140E6D" w:rsidRPr="00AB1182">
        <w:rPr>
          <w:rFonts w:asciiTheme="minorHAnsi" w:eastAsiaTheme="minorEastAsia" w:hAnsiTheme="minorHAnsi" w:cstheme="minorHAnsi"/>
        </w:rPr>
        <w:t>pro</w:t>
      </w:r>
      <w:r w:rsidR="26CD09B6" w:rsidRPr="00AB1182">
        <w:rPr>
          <w:rFonts w:asciiTheme="minorHAnsi" w:eastAsiaTheme="minorEastAsia" w:hAnsiTheme="minorHAnsi" w:cstheme="minorHAnsi"/>
        </w:rPr>
        <w:t>x</w:t>
      </w:r>
      <w:r w:rsidR="0A140E6D" w:rsidRPr="00AB1182">
        <w:rPr>
          <w:rFonts w:asciiTheme="minorHAnsi" w:eastAsiaTheme="minorEastAsia" w:hAnsiTheme="minorHAnsi" w:cstheme="minorHAnsi"/>
        </w:rPr>
        <w:t>y for jet fuel futures</w:t>
      </w:r>
      <w:r w:rsidRPr="00AB1182">
        <w:rPr>
          <w:rFonts w:asciiTheme="minorHAnsi" w:eastAsiaTheme="minorEastAsia" w:hAnsiTheme="minorHAnsi" w:cstheme="minorHAnsi"/>
        </w:rPr>
        <w:t xml:space="preserve">. </w:t>
      </w:r>
      <w:r w:rsidR="6735E30E" w:rsidRPr="00AB1182">
        <w:rPr>
          <w:rFonts w:asciiTheme="minorHAnsi" w:eastAsiaTheme="minorEastAsia" w:hAnsiTheme="minorHAnsi" w:cstheme="minorHAnsi"/>
        </w:rPr>
        <w:t>This was due to the high correlation between heating oil futures and spot jet fuel prices</w:t>
      </w:r>
      <w:r w:rsidR="0061053D">
        <w:rPr>
          <w:rFonts w:asciiTheme="minorHAnsi" w:eastAsiaTheme="minorEastAsia" w:hAnsiTheme="minorHAnsi" w:cstheme="minorHAnsi"/>
        </w:rPr>
        <w:t xml:space="preserve"> for our assessment period. Correlation is a way of measuring how much is the strength of a relationship between two metrics, in our case the prices in futures and spot markets. Our devised strategy was successful in reducing exposure to price movements in the spot market by up to 55% in best case scenarios and significantly reducing the cost of this exposure.</w:t>
      </w:r>
    </w:p>
    <w:p w14:paraId="64EFC277" w14:textId="5078AFF3" w:rsidR="2AB29704" w:rsidRPr="00AB1182" w:rsidRDefault="2AB29704" w:rsidP="00305B0C">
      <w:pPr>
        <w:rPr>
          <w:rFonts w:asciiTheme="minorHAnsi" w:eastAsiaTheme="minorEastAsia" w:hAnsiTheme="minorHAnsi" w:cstheme="minorHAnsi"/>
        </w:rPr>
      </w:pPr>
    </w:p>
    <w:p w14:paraId="218603D4" w14:textId="6021B332" w:rsidR="254058D6" w:rsidRPr="00AB1182" w:rsidRDefault="1D4084F6" w:rsidP="2A7B60E2">
      <w:pPr>
        <w:rPr>
          <w:rFonts w:asciiTheme="minorHAnsi" w:eastAsiaTheme="minorEastAsia" w:hAnsiTheme="minorHAnsi" w:cstheme="minorBidi"/>
        </w:rPr>
      </w:pPr>
      <w:r w:rsidRPr="2A7B60E2">
        <w:rPr>
          <w:rFonts w:asciiTheme="minorHAnsi" w:eastAsiaTheme="minorEastAsia" w:hAnsiTheme="minorHAnsi" w:cstheme="minorBidi"/>
        </w:rPr>
        <w:t>The report emphasizes the importance of considering market conditions when choosing a hedging strategy. The analysis explores two contrasting real-world scenarios: the extreme volatility and negative oil prices of April 2020 (super contango), and the high price backwardation environment of March 2022. We highlight how hedging strategies need to adapt to these varying market conditions to achieve optimal risk management.</w:t>
      </w:r>
      <w:r w:rsidR="16E3904B" w:rsidRPr="2A7B60E2">
        <w:rPr>
          <w:rFonts w:asciiTheme="minorHAnsi" w:eastAsiaTheme="minorEastAsia" w:hAnsiTheme="minorHAnsi" w:cstheme="minorBidi"/>
        </w:rPr>
        <w:t xml:space="preserve"> We will also discuss the challenges faced and considerations made for our analysis in detail.</w:t>
      </w:r>
      <w:r w:rsidR="7A13D96A" w:rsidRPr="2A7B60E2">
        <w:rPr>
          <w:rFonts w:asciiTheme="minorHAnsi" w:eastAsiaTheme="minorEastAsia" w:hAnsiTheme="minorHAnsi" w:cstheme="minorBidi"/>
        </w:rPr>
        <w:t xml:space="preserve"> </w:t>
      </w:r>
      <w:r w:rsidR="0061053D">
        <w:rPr>
          <w:rFonts w:asciiTheme="minorHAnsi" w:eastAsiaTheme="minorEastAsia" w:hAnsiTheme="minorHAnsi" w:cstheme="minorBidi"/>
        </w:rPr>
        <w:t>The report is not exhaustive and there are several other strategies and techniques that could be adopted to hedge against the risk of jet fuel prices which haven't been discussed.</w:t>
      </w:r>
    </w:p>
    <w:p w14:paraId="2013E913" w14:textId="6458A88A" w:rsidR="2A7B60E2" w:rsidRDefault="2A7B60E2">
      <w:r>
        <w:br w:type="page"/>
      </w:r>
    </w:p>
    <w:p w14:paraId="643F1E06" w14:textId="631D383F" w:rsidR="00E36B28" w:rsidRPr="00AB1182" w:rsidRDefault="361CDA87" w:rsidP="2A7B60E2">
      <w:pPr>
        <w:pStyle w:val="Heading1"/>
      </w:pPr>
      <w:r>
        <w:lastRenderedPageBreak/>
        <w:t>Approach</w:t>
      </w:r>
    </w:p>
    <w:p w14:paraId="24A882BC" w14:textId="14EA1350" w:rsidR="008F5821" w:rsidRPr="00AB1182" w:rsidRDefault="008043DA" w:rsidP="00E20824">
      <w:pPr>
        <w:pStyle w:val="Default"/>
        <w:spacing w:after="240"/>
        <w:jc w:val="both"/>
        <w:rPr>
          <w:rFonts w:asciiTheme="minorHAnsi" w:hAnsiTheme="minorHAnsi" w:cstheme="minorHAnsi"/>
          <w:lang w:val="en-US"/>
        </w:rPr>
      </w:pPr>
      <w:r w:rsidRPr="00AB1182">
        <w:rPr>
          <w:rFonts w:asciiTheme="minorHAnsi" w:hAnsiTheme="minorHAnsi" w:cstheme="minorHAnsi"/>
          <w:lang w:val="en-US"/>
        </w:rPr>
        <w:t xml:space="preserve">In this analysis, different hedging instruments </w:t>
      </w:r>
      <w:r w:rsidR="003E107E" w:rsidRPr="00AB1182">
        <w:rPr>
          <w:rFonts w:asciiTheme="minorHAnsi" w:hAnsiTheme="minorHAnsi" w:cstheme="minorHAnsi"/>
          <w:lang w:val="en-US"/>
        </w:rPr>
        <w:t xml:space="preserve">have been analyzed </w:t>
      </w:r>
      <w:r w:rsidR="00F421B5" w:rsidRPr="00AB1182">
        <w:rPr>
          <w:rFonts w:asciiTheme="minorHAnsi" w:hAnsiTheme="minorHAnsi" w:cstheme="minorHAnsi"/>
          <w:lang w:val="en-US"/>
        </w:rPr>
        <w:t xml:space="preserve">across different time periods </w:t>
      </w:r>
      <w:r w:rsidR="00A63076" w:rsidRPr="00AB1182">
        <w:rPr>
          <w:rFonts w:asciiTheme="minorHAnsi" w:hAnsiTheme="minorHAnsi" w:cstheme="minorHAnsi"/>
          <w:lang w:val="en-US"/>
        </w:rPr>
        <w:t>to determine the best cross-hedging strategy</w:t>
      </w:r>
      <w:r w:rsidR="00C60D30" w:rsidRPr="00AB1182">
        <w:rPr>
          <w:rFonts w:asciiTheme="minorHAnsi" w:hAnsiTheme="minorHAnsi" w:cstheme="minorHAnsi"/>
          <w:lang w:val="en-US"/>
        </w:rPr>
        <w:t xml:space="preserve"> t</w:t>
      </w:r>
      <w:r w:rsidR="007316A6" w:rsidRPr="00AB1182">
        <w:rPr>
          <w:rFonts w:asciiTheme="minorHAnsi" w:hAnsiTheme="minorHAnsi" w:cstheme="minorHAnsi"/>
          <w:lang w:val="en-US"/>
        </w:rPr>
        <w:t>hat could minimize risk against fluctuating</w:t>
      </w:r>
      <w:r w:rsidR="0084583D" w:rsidRPr="00AB1182">
        <w:rPr>
          <w:rFonts w:asciiTheme="minorHAnsi" w:hAnsiTheme="minorHAnsi" w:cstheme="minorHAnsi"/>
          <w:lang w:val="en-US"/>
        </w:rPr>
        <w:t xml:space="preserve"> </w:t>
      </w:r>
      <w:r w:rsidR="00F93CD5">
        <w:rPr>
          <w:rFonts w:asciiTheme="minorHAnsi" w:hAnsiTheme="minorHAnsi" w:cstheme="minorHAnsi"/>
          <w:lang w:val="en-US"/>
        </w:rPr>
        <w:t>j</w:t>
      </w:r>
      <w:r w:rsidR="0084583D" w:rsidRPr="00AB1182">
        <w:rPr>
          <w:rFonts w:asciiTheme="minorHAnsi" w:hAnsiTheme="minorHAnsi" w:cstheme="minorHAnsi"/>
          <w:lang w:val="en-US"/>
        </w:rPr>
        <w:t xml:space="preserve">et </w:t>
      </w:r>
      <w:r w:rsidR="00F93CD5">
        <w:rPr>
          <w:rFonts w:asciiTheme="minorHAnsi" w:hAnsiTheme="minorHAnsi" w:cstheme="minorHAnsi"/>
          <w:lang w:val="en-US"/>
        </w:rPr>
        <w:t>f</w:t>
      </w:r>
      <w:r w:rsidR="0084583D" w:rsidRPr="00AB1182">
        <w:rPr>
          <w:rFonts w:asciiTheme="minorHAnsi" w:hAnsiTheme="minorHAnsi" w:cstheme="minorHAnsi"/>
          <w:lang w:val="en-US"/>
        </w:rPr>
        <w:t>uel spot prices</w:t>
      </w:r>
      <w:r w:rsidR="00C60D30" w:rsidRPr="00AB1182">
        <w:rPr>
          <w:rFonts w:asciiTheme="minorHAnsi" w:hAnsiTheme="minorHAnsi" w:cstheme="minorHAnsi"/>
          <w:lang w:val="en-US"/>
        </w:rPr>
        <w:t>.</w:t>
      </w:r>
      <w:r w:rsidR="007F065A" w:rsidRPr="00AB1182">
        <w:rPr>
          <w:rFonts w:asciiTheme="minorHAnsi" w:hAnsiTheme="minorHAnsi" w:cstheme="minorHAnsi"/>
          <w:lang w:val="en-US"/>
        </w:rPr>
        <w:t xml:space="preserve"> </w:t>
      </w:r>
      <w:r w:rsidR="06731DCF" w:rsidRPr="00AB1182">
        <w:rPr>
          <w:rFonts w:asciiTheme="minorHAnsi" w:hAnsiTheme="minorHAnsi" w:cstheme="minorHAnsi"/>
          <w:lang w:val="en-US"/>
        </w:rPr>
        <w:t xml:space="preserve">Cross-hedging is a risk management strategy </w:t>
      </w:r>
      <w:r w:rsidR="00F93CD5">
        <w:rPr>
          <w:rFonts w:asciiTheme="minorHAnsi" w:hAnsiTheme="minorHAnsi" w:cstheme="minorHAnsi"/>
          <w:lang w:val="en-US"/>
        </w:rPr>
        <w:t xml:space="preserve">in which the underlying asset in a futures contract differs from the asset being hedged against. This strategy has been used for jet fuel </w:t>
      </w:r>
      <w:r w:rsidR="00F65EED">
        <w:rPr>
          <w:rFonts w:asciiTheme="minorHAnsi" w:hAnsiTheme="minorHAnsi" w:cstheme="minorHAnsi"/>
          <w:lang w:val="en-US"/>
        </w:rPr>
        <w:t>due to insufficient futures on jet fuel.</w:t>
      </w:r>
      <w:r w:rsidR="002E64CE">
        <w:rPr>
          <w:rFonts w:asciiTheme="minorHAnsi" w:hAnsiTheme="minorHAnsi" w:cstheme="minorHAnsi"/>
          <w:lang w:val="en-US"/>
        </w:rPr>
        <w:t xml:space="preserve"> </w:t>
      </w:r>
      <w:r w:rsidR="06731DCF" w:rsidRPr="00AB1182">
        <w:rPr>
          <w:rFonts w:asciiTheme="minorHAnsi" w:hAnsiTheme="minorHAnsi" w:cstheme="minorHAnsi"/>
          <w:lang w:val="en-US"/>
        </w:rPr>
        <w:t>It involves using futures contracts for a different asset</w:t>
      </w:r>
      <w:r w:rsidR="00DB3850">
        <w:rPr>
          <w:rFonts w:asciiTheme="minorHAnsi" w:hAnsiTheme="minorHAnsi" w:cstheme="minorHAnsi"/>
          <w:lang w:val="en-US"/>
        </w:rPr>
        <w:t xml:space="preserve"> such as heating oil</w:t>
      </w:r>
      <w:r w:rsidR="06731DCF" w:rsidRPr="00AB1182">
        <w:rPr>
          <w:rFonts w:asciiTheme="minorHAnsi" w:hAnsiTheme="minorHAnsi" w:cstheme="minorHAnsi"/>
          <w:lang w:val="en-US"/>
        </w:rPr>
        <w:t xml:space="preserve"> that is strongly correlated with the underlying asset that we want to hedge. The aim </w:t>
      </w:r>
      <w:r w:rsidR="00E20824">
        <w:rPr>
          <w:rFonts w:asciiTheme="minorHAnsi" w:hAnsiTheme="minorHAnsi" w:cstheme="minorHAnsi"/>
          <w:lang w:val="en-US"/>
        </w:rPr>
        <w:t xml:space="preserve">is </w:t>
      </w:r>
      <w:r w:rsidR="06731DCF" w:rsidRPr="00AB1182">
        <w:rPr>
          <w:rFonts w:asciiTheme="minorHAnsi" w:hAnsiTheme="minorHAnsi" w:cstheme="minorHAnsi"/>
          <w:lang w:val="en-US"/>
        </w:rPr>
        <w:t>to offset the price movements of our target asset with the price movements of the hedged asset.</w:t>
      </w:r>
    </w:p>
    <w:p w14:paraId="5D707A0B" w14:textId="2F6A07DE" w:rsidR="008F5821" w:rsidRPr="00E20824" w:rsidRDefault="74883E03" w:rsidP="2A7B60E2">
      <w:pPr>
        <w:pStyle w:val="Default"/>
        <w:spacing w:after="240"/>
        <w:jc w:val="both"/>
        <w:rPr>
          <w:rFonts w:asciiTheme="minorHAnsi" w:hAnsiTheme="minorHAnsi" w:cstheme="minorBidi"/>
          <w:lang w:val="en-US"/>
        </w:rPr>
      </w:pPr>
      <w:r w:rsidRPr="2A7B60E2">
        <w:rPr>
          <w:rFonts w:asciiTheme="minorHAnsi" w:hAnsiTheme="minorHAnsi" w:cstheme="minorBidi"/>
          <w:lang w:val="en-US"/>
        </w:rPr>
        <w:t xml:space="preserve">The analysis examines three </w:t>
      </w:r>
      <w:r w:rsidR="2197A33B" w:rsidRPr="2A7B60E2">
        <w:rPr>
          <w:rFonts w:asciiTheme="minorHAnsi" w:hAnsiTheme="minorHAnsi" w:cstheme="minorBidi"/>
          <w:lang w:val="en-US"/>
        </w:rPr>
        <w:t>cross-</w:t>
      </w:r>
      <w:r w:rsidRPr="2A7B60E2">
        <w:rPr>
          <w:rFonts w:asciiTheme="minorHAnsi" w:hAnsiTheme="minorHAnsi" w:cstheme="minorBidi"/>
          <w:lang w:val="en-US"/>
        </w:rPr>
        <w:t xml:space="preserve">hedging strategies </w:t>
      </w:r>
      <w:r w:rsidR="500AEF51" w:rsidRPr="2A7B60E2">
        <w:rPr>
          <w:rFonts w:asciiTheme="minorHAnsi" w:hAnsiTheme="minorHAnsi" w:cstheme="minorBidi"/>
          <w:lang w:val="en-US"/>
        </w:rPr>
        <w:t>that</w:t>
      </w:r>
      <w:r w:rsidRPr="2A7B60E2">
        <w:rPr>
          <w:rFonts w:asciiTheme="minorHAnsi" w:hAnsiTheme="minorHAnsi" w:cstheme="minorBidi"/>
          <w:lang w:val="en-US"/>
        </w:rPr>
        <w:t xml:space="preserve"> </w:t>
      </w:r>
      <w:r w:rsidR="05BC8241" w:rsidRPr="2A7B60E2">
        <w:rPr>
          <w:rFonts w:asciiTheme="minorHAnsi" w:hAnsiTheme="minorHAnsi" w:cstheme="minorBidi"/>
          <w:lang w:val="en-US"/>
        </w:rPr>
        <w:t>include</w:t>
      </w:r>
      <w:r w:rsidRPr="2A7B60E2">
        <w:rPr>
          <w:rFonts w:asciiTheme="minorHAnsi" w:hAnsiTheme="minorHAnsi" w:cstheme="minorBidi"/>
          <w:lang w:val="en-US"/>
        </w:rPr>
        <w:t xml:space="preserve"> </w:t>
      </w:r>
      <w:r w:rsidR="3233DB66" w:rsidRPr="2A7B60E2">
        <w:rPr>
          <w:rFonts w:asciiTheme="minorHAnsi" w:hAnsiTheme="minorHAnsi" w:cstheme="minorBidi"/>
          <w:lang w:val="en-US"/>
        </w:rPr>
        <w:t>hedging with heating oil futures only (Case A), hedge with crude oil futures only (Case B) and hedg</w:t>
      </w:r>
      <w:r w:rsidR="500AEF51" w:rsidRPr="2A7B60E2">
        <w:rPr>
          <w:rFonts w:asciiTheme="minorHAnsi" w:hAnsiTheme="minorHAnsi" w:cstheme="minorBidi"/>
          <w:lang w:val="en-US"/>
        </w:rPr>
        <w:t>ing</w:t>
      </w:r>
      <w:r w:rsidR="3233DB66" w:rsidRPr="2A7B60E2">
        <w:rPr>
          <w:rFonts w:asciiTheme="minorHAnsi" w:hAnsiTheme="minorHAnsi" w:cstheme="minorBidi"/>
          <w:lang w:val="en-US"/>
        </w:rPr>
        <w:t xml:space="preserve"> with both heating oil and crude oil futures (Case C).</w:t>
      </w:r>
      <w:r w:rsidR="2AAC5F6C" w:rsidRPr="2A7B60E2">
        <w:rPr>
          <w:rFonts w:asciiTheme="minorHAnsi" w:hAnsiTheme="minorHAnsi" w:cstheme="minorBidi"/>
          <w:lang w:val="en-US"/>
        </w:rPr>
        <w:t xml:space="preserve"> </w:t>
      </w:r>
      <w:r w:rsidR="6FD0BF82" w:rsidRPr="2A7B60E2">
        <w:rPr>
          <w:rFonts w:asciiTheme="minorHAnsi" w:hAnsiTheme="minorHAnsi" w:cstheme="minorBidi"/>
          <w:lang w:val="en-US"/>
        </w:rPr>
        <w:t>The</w:t>
      </w:r>
      <w:r w:rsidR="6BA35C1F" w:rsidRPr="2A7B60E2">
        <w:rPr>
          <w:rFonts w:asciiTheme="minorHAnsi" w:hAnsiTheme="minorHAnsi" w:cstheme="minorBidi"/>
          <w:lang w:val="en-US"/>
        </w:rPr>
        <w:t xml:space="preserve"> </w:t>
      </w:r>
      <w:r w:rsidR="071F4D07" w:rsidRPr="2A7B60E2">
        <w:rPr>
          <w:rFonts w:asciiTheme="minorHAnsi" w:hAnsiTheme="minorHAnsi" w:cstheme="minorBidi"/>
          <w:lang w:val="en-US"/>
        </w:rPr>
        <w:t xml:space="preserve">price fluctuations </w:t>
      </w:r>
      <w:r w:rsidR="4BF9ECD6" w:rsidRPr="2A7B60E2">
        <w:rPr>
          <w:rFonts w:asciiTheme="minorHAnsi" w:hAnsiTheme="minorHAnsi" w:cstheme="minorBidi"/>
          <w:lang w:val="en-US"/>
        </w:rPr>
        <w:t xml:space="preserve">of these assets </w:t>
      </w:r>
      <w:r w:rsidR="1241536E" w:rsidRPr="2A7B60E2">
        <w:rPr>
          <w:rFonts w:asciiTheme="minorHAnsi" w:hAnsiTheme="minorHAnsi" w:cstheme="minorBidi"/>
          <w:lang w:val="en-US"/>
        </w:rPr>
        <w:t>correlate</w:t>
      </w:r>
      <w:r w:rsidR="071F4D07" w:rsidRPr="2A7B60E2">
        <w:rPr>
          <w:rFonts w:asciiTheme="minorHAnsi" w:hAnsiTheme="minorHAnsi" w:cstheme="minorBidi"/>
          <w:lang w:val="en-US"/>
        </w:rPr>
        <w:t xml:space="preserve"> with those of</w:t>
      </w:r>
      <w:r w:rsidR="134118F5" w:rsidRPr="2A7B60E2">
        <w:rPr>
          <w:rFonts w:asciiTheme="minorHAnsi" w:hAnsiTheme="minorHAnsi" w:cstheme="minorBidi"/>
          <w:lang w:val="en-US"/>
        </w:rPr>
        <w:t xml:space="preserve"> </w:t>
      </w:r>
      <w:r w:rsidR="4BF9ECD6" w:rsidRPr="2A7B60E2">
        <w:rPr>
          <w:rFonts w:asciiTheme="minorHAnsi" w:hAnsiTheme="minorHAnsi" w:cstheme="minorBidi"/>
          <w:lang w:val="en-US"/>
        </w:rPr>
        <w:t>Jet fuel spot prices,</w:t>
      </w:r>
      <w:r w:rsidR="54E9F7B8" w:rsidRPr="2A7B60E2">
        <w:rPr>
          <w:rFonts w:asciiTheme="minorHAnsi" w:hAnsiTheme="minorHAnsi" w:cstheme="minorBidi"/>
          <w:lang w:val="en-US"/>
        </w:rPr>
        <w:t xml:space="preserve"> </w:t>
      </w:r>
      <w:r w:rsidR="2B3B499C" w:rsidRPr="2A7B60E2">
        <w:rPr>
          <w:rFonts w:asciiTheme="minorHAnsi" w:hAnsiTheme="minorHAnsi" w:cstheme="minorBidi"/>
          <w:lang w:val="en-US"/>
        </w:rPr>
        <w:t>making</w:t>
      </w:r>
      <w:r w:rsidR="54E9F7B8" w:rsidRPr="2A7B60E2">
        <w:rPr>
          <w:rFonts w:asciiTheme="minorHAnsi" w:hAnsiTheme="minorHAnsi" w:cstheme="minorBidi"/>
          <w:lang w:val="en-US"/>
        </w:rPr>
        <w:t xml:space="preserve"> them </w:t>
      </w:r>
      <w:r w:rsidR="2B3B499C" w:rsidRPr="2A7B60E2">
        <w:rPr>
          <w:rFonts w:asciiTheme="minorHAnsi" w:hAnsiTheme="minorHAnsi" w:cstheme="minorBidi"/>
          <w:lang w:val="en-US"/>
        </w:rPr>
        <w:t xml:space="preserve">suitable </w:t>
      </w:r>
      <w:r w:rsidR="210F472E" w:rsidRPr="2A7B60E2">
        <w:rPr>
          <w:rFonts w:asciiTheme="minorHAnsi" w:hAnsiTheme="minorHAnsi" w:cstheme="minorBidi"/>
          <w:lang w:val="en-US"/>
        </w:rPr>
        <w:t>choices for this analysis</w:t>
      </w:r>
      <w:r w:rsidR="6BA35C1F" w:rsidRPr="2A7B60E2">
        <w:rPr>
          <w:rFonts w:asciiTheme="minorHAnsi" w:hAnsiTheme="minorHAnsi" w:cstheme="minorBidi"/>
          <w:lang w:val="en-US"/>
        </w:rPr>
        <w:t xml:space="preserve"> (Turner &amp; Lim, 2015). </w:t>
      </w:r>
      <w:r w:rsidR="70A63B2C" w:rsidRPr="2A7B60E2">
        <w:rPr>
          <w:rFonts w:asciiTheme="minorHAnsi" w:hAnsiTheme="minorHAnsi" w:cstheme="minorBidi"/>
          <w:lang w:val="en-US"/>
        </w:rPr>
        <w:t>C</w:t>
      </w:r>
      <w:r w:rsidR="5306290E" w:rsidRPr="2A7B60E2">
        <w:rPr>
          <w:rFonts w:asciiTheme="minorHAnsi" w:hAnsiTheme="minorHAnsi" w:cstheme="minorBidi"/>
          <w:lang w:val="en-US"/>
        </w:rPr>
        <w:t xml:space="preserve">onsidering the underlying </w:t>
      </w:r>
      <w:proofErr w:type="gramStart"/>
      <w:r w:rsidR="5306290E" w:rsidRPr="2A7B60E2">
        <w:rPr>
          <w:rFonts w:asciiTheme="minorHAnsi" w:hAnsiTheme="minorHAnsi" w:cstheme="minorBidi"/>
          <w:lang w:val="en-US"/>
        </w:rPr>
        <w:t>asset</w:t>
      </w:r>
      <w:proofErr w:type="gramEnd"/>
      <w:r w:rsidR="5306290E" w:rsidRPr="2A7B60E2">
        <w:rPr>
          <w:rFonts w:asciiTheme="minorHAnsi" w:hAnsiTheme="minorHAnsi" w:cstheme="minorBidi"/>
          <w:lang w:val="en-US"/>
        </w:rPr>
        <w:t xml:space="preserve"> </w:t>
      </w:r>
      <w:r w:rsidR="2B83C78F" w:rsidRPr="2A7B60E2">
        <w:rPr>
          <w:rFonts w:asciiTheme="minorHAnsi" w:hAnsiTheme="minorHAnsi" w:cstheme="minorBidi"/>
          <w:lang w:val="en-US"/>
        </w:rPr>
        <w:t>in</w:t>
      </w:r>
      <w:r w:rsidR="5306290E" w:rsidRPr="2A7B60E2">
        <w:rPr>
          <w:rFonts w:asciiTheme="minorHAnsi" w:hAnsiTheme="minorHAnsi" w:cstheme="minorBidi"/>
          <w:lang w:val="en-US"/>
        </w:rPr>
        <w:t xml:space="preserve"> the futures contracts </w:t>
      </w:r>
      <w:r w:rsidR="612ECA53" w:rsidRPr="2A7B60E2">
        <w:rPr>
          <w:rFonts w:asciiTheme="minorHAnsi" w:hAnsiTheme="minorHAnsi" w:cstheme="minorBidi"/>
          <w:lang w:val="en-US"/>
        </w:rPr>
        <w:t xml:space="preserve">differ from the asset being hedged, the </w:t>
      </w:r>
      <w:r w:rsidR="32CEC772" w:rsidRPr="2A7B60E2">
        <w:rPr>
          <w:rFonts w:asciiTheme="minorHAnsi" w:hAnsiTheme="minorHAnsi" w:cstheme="minorBidi"/>
          <w:lang w:val="en-US"/>
        </w:rPr>
        <w:t xml:space="preserve">purpose of this </w:t>
      </w:r>
      <w:r w:rsidR="612ECA53" w:rsidRPr="2A7B60E2">
        <w:rPr>
          <w:rFonts w:asciiTheme="minorHAnsi" w:hAnsiTheme="minorHAnsi" w:cstheme="minorBidi"/>
          <w:lang w:val="en-US"/>
        </w:rPr>
        <w:t xml:space="preserve">analysis </w:t>
      </w:r>
      <w:r w:rsidR="32CEC772" w:rsidRPr="2A7B60E2">
        <w:rPr>
          <w:rFonts w:asciiTheme="minorHAnsi" w:hAnsiTheme="minorHAnsi" w:cstheme="minorBidi"/>
          <w:lang w:val="en-US"/>
        </w:rPr>
        <w:t>is to deduce</w:t>
      </w:r>
      <w:r w:rsidR="612ECA53" w:rsidRPr="2A7B60E2">
        <w:rPr>
          <w:rFonts w:asciiTheme="minorHAnsi" w:hAnsiTheme="minorHAnsi" w:cstheme="minorBidi"/>
          <w:lang w:val="en-US"/>
        </w:rPr>
        <w:t xml:space="preserve"> the optimal number of contracts </w:t>
      </w:r>
      <w:r w:rsidR="04BA9939" w:rsidRPr="2A7B60E2">
        <w:rPr>
          <w:rFonts w:asciiTheme="minorHAnsi" w:hAnsiTheme="minorHAnsi" w:cstheme="minorBidi"/>
          <w:lang w:val="en-US"/>
        </w:rPr>
        <w:t>t</w:t>
      </w:r>
      <w:r w:rsidR="70A63B2C" w:rsidRPr="2A7B60E2">
        <w:rPr>
          <w:rFonts w:asciiTheme="minorHAnsi" w:hAnsiTheme="minorHAnsi" w:cstheme="minorBidi"/>
          <w:lang w:val="en-US"/>
        </w:rPr>
        <w:t>hat would</w:t>
      </w:r>
      <w:r w:rsidR="40D56E38" w:rsidRPr="2A7B60E2">
        <w:rPr>
          <w:rFonts w:asciiTheme="minorHAnsi" w:hAnsiTheme="minorHAnsi" w:cstheme="minorBidi"/>
          <w:lang w:val="en-US"/>
        </w:rPr>
        <w:t xml:space="preserve"> reduce risk </w:t>
      </w:r>
      <w:r w:rsidR="1BF6D98D" w:rsidRPr="2A7B60E2">
        <w:rPr>
          <w:rFonts w:asciiTheme="minorHAnsi" w:hAnsiTheme="minorHAnsi" w:cstheme="minorBidi"/>
          <w:lang w:val="en-US"/>
        </w:rPr>
        <w:t xml:space="preserve">exposure for each strategy </w:t>
      </w:r>
      <w:r w:rsidR="40D56E38" w:rsidRPr="2A7B60E2">
        <w:rPr>
          <w:rFonts w:asciiTheme="minorHAnsi" w:hAnsiTheme="minorHAnsi" w:cstheme="minorBidi"/>
          <w:lang w:val="en-US"/>
        </w:rPr>
        <w:t xml:space="preserve">and </w:t>
      </w:r>
      <w:r w:rsidR="32CEC772" w:rsidRPr="2A7B60E2">
        <w:rPr>
          <w:rFonts w:asciiTheme="minorHAnsi" w:hAnsiTheme="minorHAnsi" w:cstheme="minorBidi"/>
          <w:lang w:val="en-US"/>
        </w:rPr>
        <w:t xml:space="preserve">further assess </w:t>
      </w:r>
      <w:r w:rsidR="2B83C78F" w:rsidRPr="2A7B60E2">
        <w:rPr>
          <w:rFonts w:asciiTheme="minorHAnsi" w:hAnsiTheme="minorHAnsi" w:cstheme="minorBidi"/>
          <w:lang w:val="en-US"/>
        </w:rPr>
        <w:t>which strategy produces the best results</w:t>
      </w:r>
      <w:r w:rsidR="78DCA62E" w:rsidRPr="2A7B60E2">
        <w:rPr>
          <w:rFonts w:asciiTheme="minorHAnsi" w:hAnsiTheme="minorHAnsi" w:cstheme="minorBidi"/>
          <w:lang w:val="en-US"/>
        </w:rPr>
        <w:t>.</w:t>
      </w:r>
    </w:p>
    <w:p w14:paraId="046A87E2" w14:textId="01A96E3E" w:rsidR="008F5821" w:rsidRPr="00AB1182" w:rsidRDefault="008F5821" w:rsidP="00305B0C">
      <w:pPr>
        <w:autoSpaceDE w:val="0"/>
        <w:autoSpaceDN w:val="0"/>
        <w:adjustRightInd w:val="0"/>
        <w:jc w:val="both"/>
        <w:rPr>
          <w:rFonts w:asciiTheme="minorHAnsi" w:hAnsiTheme="minorHAnsi" w:cstheme="minorHAnsi"/>
        </w:rPr>
      </w:pPr>
      <w:r w:rsidRPr="00AB1182">
        <w:rPr>
          <w:rFonts w:asciiTheme="minorHAnsi" w:hAnsiTheme="minorHAnsi" w:cstheme="minorHAnsi"/>
        </w:rPr>
        <w:t xml:space="preserve">To </w:t>
      </w:r>
      <w:r w:rsidR="00AE503B" w:rsidRPr="00AB1182">
        <w:rPr>
          <w:rFonts w:asciiTheme="minorHAnsi" w:hAnsiTheme="minorHAnsi" w:cstheme="minorHAnsi"/>
        </w:rPr>
        <w:t>arrive at the optimal number of contracts</w:t>
      </w:r>
      <w:r w:rsidR="006113E5" w:rsidRPr="00AB1182">
        <w:rPr>
          <w:rFonts w:asciiTheme="minorHAnsi" w:hAnsiTheme="minorHAnsi" w:cstheme="minorHAnsi"/>
        </w:rPr>
        <w:t xml:space="preserve">, </w:t>
      </w:r>
      <w:r w:rsidR="003E532D" w:rsidRPr="00AB1182">
        <w:rPr>
          <w:rFonts w:asciiTheme="minorHAnsi" w:hAnsiTheme="minorHAnsi" w:cstheme="minorHAnsi"/>
        </w:rPr>
        <w:t xml:space="preserve">we compute the </w:t>
      </w:r>
      <w:r w:rsidR="00F93AD8" w:rsidRPr="00AB1182">
        <w:rPr>
          <w:rFonts w:asciiTheme="minorHAnsi" w:hAnsiTheme="minorHAnsi" w:cstheme="minorHAnsi"/>
        </w:rPr>
        <w:t xml:space="preserve">minimum variance </w:t>
      </w:r>
      <w:r w:rsidR="006113E5" w:rsidRPr="00AB1182">
        <w:rPr>
          <w:rFonts w:asciiTheme="minorHAnsi" w:hAnsiTheme="minorHAnsi" w:cstheme="minorHAnsi"/>
        </w:rPr>
        <w:t xml:space="preserve">hedge ratio </w:t>
      </w:r>
      <w:r w:rsidR="00D91751" w:rsidRPr="00AB1182">
        <w:rPr>
          <w:rFonts w:asciiTheme="minorHAnsi" w:hAnsiTheme="minorHAnsi" w:cstheme="minorHAnsi"/>
        </w:rPr>
        <w:t xml:space="preserve">using </w:t>
      </w:r>
      <w:r w:rsidR="00A52ECD" w:rsidRPr="00AB1182">
        <w:rPr>
          <w:rFonts w:asciiTheme="minorHAnsi" w:hAnsiTheme="minorHAnsi" w:cstheme="minorHAnsi"/>
        </w:rPr>
        <w:t xml:space="preserve">different </w:t>
      </w:r>
      <w:r w:rsidR="00B7185C" w:rsidRPr="00AB1182">
        <w:rPr>
          <w:rFonts w:asciiTheme="minorHAnsi" w:hAnsiTheme="minorHAnsi" w:cstheme="minorHAnsi"/>
        </w:rPr>
        <w:t xml:space="preserve">estimation methods including a simple approach, Simple and Multiple Linear Regression and </w:t>
      </w:r>
      <w:r w:rsidR="00E97DE3" w:rsidRPr="00AB1182">
        <w:rPr>
          <w:rFonts w:asciiTheme="minorHAnsi" w:hAnsiTheme="minorHAnsi" w:cstheme="minorHAnsi"/>
        </w:rPr>
        <w:t>Solver</w:t>
      </w:r>
      <w:r w:rsidR="00B7185C" w:rsidRPr="00AB1182">
        <w:rPr>
          <w:rFonts w:asciiTheme="minorHAnsi" w:hAnsiTheme="minorHAnsi" w:cstheme="minorHAnsi"/>
        </w:rPr>
        <w:t xml:space="preserve"> on MS excel</w:t>
      </w:r>
      <w:r w:rsidR="00F93AD8" w:rsidRPr="00AB1182">
        <w:rPr>
          <w:rFonts w:asciiTheme="minorHAnsi" w:hAnsiTheme="minorHAnsi" w:cstheme="minorHAnsi"/>
        </w:rPr>
        <w:t xml:space="preserve">. </w:t>
      </w:r>
      <w:r w:rsidR="00183392" w:rsidRPr="00AB1182">
        <w:rPr>
          <w:rFonts w:asciiTheme="minorHAnsi" w:hAnsiTheme="minorHAnsi" w:cstheme="minorHAnsi"/>
        </w:rPr>
        <w:t xml:space="preserve">We know that </w:t>
      </w:r>
      <w:r w:rsidR="00B27E7B" w:rsidRPr="00AB1182">
        <w:rPr>
          <w:rFonts w:asciiTheme="minorHAnsi" w:hAnsiTheme="minorHAnsi" w:cstheme="minorHAnsi"/>
        </w:rPr>
        <w:t>the h</w:t>
      </w:r>
      <w:r w:rsidR="008F5CDE" w:rsidRPr="00AB1182">
        <w:rPr>
          <w:rFonts w:asciiTheme="minorHAnsi" w:hAnsiTheme="minorHAnsi" w:cstheme="minorHAnsi"/>
        </w:rPr>
        <w:t>edge ratio is defined as “</w:t>
      </w:r>
      <w:r w:rsidR="002E7AD7" w:rsidRPr="00AB1182">
        <w:rPr>
          <w:rFonts w:asciiTheme="minorHAnsi" w:hAnsiTheme="minorHAnsi" w:cstheme="minorHAnsi"/>
        </w:rPr>
        <w:t>the ratio of the size of the position taken in futures contracts to the size of the exposure”</w:t>
      </w:r>
      <w:r w:rsidR="00B277E7">
        <w:rPr>
          <w:rFonts w:asciiTheme="minorHAnsi" w:hAnsiTheme="minorHAnsi" w:cstheme="minorHAnsi"/>
        </w:rPr>
        <w:t xml:space="preserve"> </w:t>
      </w:r>
      <w:r w:rsidR="000A7D42">
        <w:rPr>
          <w:rFonts w:asciiTheme="minorHAnsi" w:hAnsiTheme="minorHAnsi" w:cstheme="minorHAnsi"/>
        </w:rPr>
        <w:t xml:space="preserve">(John Hull, </w:t>
      </w:r>
      <w:r w:rsidR="00765987">
        <w:rPr>
          <w:rFonts w:asciiTheme="minorHAnsi" w:hAnsiTheme="minorHAnsi" w:cstheme="minorHAnsi"/>
        </w:rPr>
        <w:t xml:space="preserve">2021). </w:t>
      </w:r>
      <w:r w:rsidR="00D1393A" w:rsidRPr="00AB1182">
        <w:rPr>
          <w:rFonts w:asciiTheme="minorHAnsi" w:hAnsiTheme="minorHAnsi" w:cstheme="minorHAnsi"/>
        </w:rPr>
        <w:t>We</w:t>
      </w:r>
      <w:r w:rsidR="00DC0FDD" w:rsidRPr="00AB1182">
        <w:rPr>
          <w:rFonts w:asciiTheme="minorHAnsi" w:hAnsiTheme="minorHAnsi" w:cstheme="minorHAnsi"/>
        </w:rPr>
        <w:t xml:space="preserve">, therefore, </w:t>
      </w:r>
      <w:r w:rsidR="00D1393A" w:rsidRPr="00AB1182">
        <w:rPr>
          <w:rFonts w:asciiTheme="minorHAnsi" w:hAnsiTheme="minorHAnsi" w:cstheme="minorHAnsi"/>
        </w:rPr>
        <w:t>calculated t</w:t>
      </w:r>
      <w:r w:rsidR="000E50F7" w:rsidRPr="00AB1182">
        <w:rPr>
          <w:rFonts w:asciiTheme="minorHAnsi" w:hAnsiTheme="minorHAnsi" w:cstheme="minorHAnsi"/>
        </w:rPr>
        <w:t>he</w:t>
      </w:r>
      <w:r w:rsidR="009F6553" w:rsidRPr="00AB1182">
        <w:rPr>
          <w:rFonts w:asciiTheme="minorHAnsi" w:hAnsiTheme="minorHAnsi" w:cstheme="minorHAnsi"/>
        </w:rPr>
        <w:t xml:space="preserve"> minimum variance hedge ratio</w:t>
      </w:r>
      <w:r w:rsidR="00DC0FDD" w:rsidRPr="00AB1182">
        <w:rPr>
          <w:rFonts w:asciiTheme="minorHAnsi" w:hAnsiTheme="minorHAnsi" w:cstheme="minorHAnsi"/>
        </w:rPr>
        <w:t xml:space="preserve"> for each strategy and each </w:t>
      </w:r>
      <w:proofErr w:type="gramStart"/>
      <w:r w:rsidR="00DC0FDD" w:rsidRPr="00AB1182">
        <w:rPr>
          <w:rFonts w:asciiTheme="minorHAnsi" w:hAnsiTheme="minorHAnsi" w:cstheme="minorHAnsi"/>
        </w:rPr>
        <w:t>time period</w:t>
      </w:r>
      <w:proofErr w:type="gramEnd"/>
      <w:r w:rsidR="00E4601A">
        <w:rPr>
          <w:rFonts w:asciiTheme="minorHAnsi" w:hAnsiTheme="minorHAnsi" w:cstheme="minorHAnsi"/>
        </w:rPr>
        <w:t xml:space="preserve"> </w:t>
      </w:r>
      <w:proofErr w:type="gramStart"/>
      <w:r w:rsidR="00EC2DDD">
        <w:rPr>
          <w:rFonts w:asciiTheme="minorHAnsi" w:hAnsiTheme="minorHAnsi" w:cstheme="minorHAnsi"/>
        </w:rPr>
        <w:t>so as to</w:t>
      </w:r>
      <w:proofErr w:type="gramEnd"/>
      <w:r w:rsidR="00EC2DDD">
        <w:rPr>
          <w:rFonts w:asciiTheme="minorHAnsi" w:hAnsiTheme="minorHAnsi" w:cstheme="minorHAnsi"/>
        </w:rPr>
        <w:t xml:space="preserve"> </w:t>
      </w:r>
      <w:r w:rsidR="000B6090">
        <w:rPr>
          <w:rFonts w:asciiTheme="minorHAnsi" w:hAnsiTheme="minorHAnsi" w:cstheme="minorHAnsi"/>
        </w:rPr>
        <w:t xml:space="preserve">arrive at </w:t>
      </w:r>
      <w:r w:rsidR="0057354B">
        <w:rPr>
          <w:rFonts w:asciiTheme="minorHAnsi" w:hAnsiTheme="minorHAnsi" w:cstheme="minorHAnsi"/>
        </w:rPr>
        <w:t>a</w:t>
      </w:r>
      <w:r w:rsidR="000B6090">
        <w:rPr>
          <w:rFonts w:asciiTheme="minorHAnsi" w:hAnsiTheme="minorHAnsi" w:cstheme="minorHAnsi"/>
        </w:rPr>
        <w:t xml:space="preserve"> hedge ratio w</w:t>
      </w:r>
      <w:r w:rsidR="0057354B">
        <w:rPr>
          <w:rFonts w:asciiTheme="minorHAnsi" w:hAnsiTheme="minorHAnsi" w:cstheme="minorHAnsi"/>
        </w:rPr>
        <w:t xml:space="preserve">hich showed the lowest variance in the </w:t>
      </w:r>
      <w:proofErr w:type="gramStart"/>
      <w:r w:rsidR="0057354B">
        <w:rPr>
          <w:rFonts w:asciiTheme="minorHAnsi" w:hAnsiTheme="minorHAnsi" w:cstheme="minorHAnsi"/>
        </w:rPr>
        <w:t>hedged</w:t>
      </w:r>
      <w:proofErr w:type="gramEnd"/>
      <w:r w:rsidR="0057354B">
        <w:rPr>
          <w:rFonts w:asciiTheme="minorHAnsi" w:hAnsiTheme="minorHAnsi" w:cstheme="minorHAnsi"/>
        </w:rPr>
        <w:t xml:space="preserve"> position</w:t>
      </w:r>
      <w:r w:rsidR="005C24DA">
        <w:rPr>
          <w:rFonts w:asciiTheme="minorHAnsi" w:hAnsiTheme="minorHAnsi" w:cstheme="minorHAnsi"/>
        </w:rPr>
        <w:t xml:space="preserve"> and </w:t>
      </w:r>
      <w:proofErr w:type="gramStart"/>
      <w:r w:rsidR="005C24DA">
        <w:rPr>
          <w:rFonts w:asciiTheme="minorHAnsi" w:hAnsiTheme="minorHAnsi" w:cstheme="minorHAnsi"/>
        </w:rPr>
        <w:t>determine</w:t>
      </w:r>
      <w:proofErr w:type="gramEnd"/>
      <w:r w:rsidR="000E50F7" w:rsidRPr="00AB1182">
        <w:rPr>
          <w:rFonts w:asciiTheme="minorHAnsi" w:hAnsiTheme="minorHAnsi" w:cstheme="minorHAnsi"/>
        </w:rPr>
        <w:t xml:space="preserve"> the optimal number of </w:t>
      </w:r>
      <w:r w:rsidR="00C12F8E" w:rsidRPr="00AB1182">
        <w:rPr>
          <w:rFonts w:asciiTheme="minorHAnsi" w:hAnsiTheme="minorHAnsi" w:cstheme="minorHAnsi"/>
        </w:rPr>
        <w:t xml:space="preserve">future </w:t>
      </w:r>
      <w:r w:rsidR="000E50F7" w:rsidRPr="00AB1182">
        <w:rPr>
          <w:rFonts w:asciiTheme="minorHAnsi" w:hAnsiTheme="minorHAnsi" w:cstheme="minorHAnsi"/>
        </w:rPr>
        <w:t xml:space="preserve">contracts </w:t>
      </w:r>
      <w:r w:rsidR="005C24DA">
        <w:rPr>
          <w:rFonts w:asciiTheme="minorHAnsi" w:hAnsiTheme="minorHAnsi" w:cstheme="minorHAnsi"/>
        </w:rPr>
        <w:t>for</w:t>
      </w:r>
      <w:r w:rsidR="000E50F7" w:rsidRPr="00AB1182">
        <w:rPr>
          <w:rFonts w:asciiTheme="minorHAnsi" w:hAnsiTheme="minorHAnsi" w:cstheme="minorHAnsi"/>
        </w:rPr>
        <w:t xml:space="preserve"> </w:t>
      </w:r>
      <w:r w:rsidR="00924A8F">
        <w:rPr>
          <w:rFonts w:asciiTheme="minorHAnsi" w:hAnsiTheme="minorHAnsi" w:cstheme="minorHAnsi"/>
        </w:rPr>
        <w:t>that</w:t>
      </w:r>
      <w:r w:rsidR="004B3D17" w:rsidRPr="00AB1182">
        <w:rPr>
          <w:rFonts w:asciiTheme="minorHAnsi" w:hAnsiTheme="minorHAnsi" w:cstheme="minorHAnsi"/>
        </w:rPr>
        <w:t xml:space="preserve"> hedged position</w:t>
      </w:r>
      <w:r w:rsidR="00C12F8E" w:rsidRPr="00AB1182">
        <w:rPr>
          <w:rFonts w:asciiTheme="minorHAnsi" w:hAnsiTheme="minorHAnsi" w:cstheme="minorHAnsi"/>
        </w:rPr>
        <w:t>.</w:t>
      </w:r>
      <w:r w:rsidR="000E50F7" w:rsidRPr="00AB1182">
        <w:rPr>
          <w:rFonts w:asciiTheme="minorHAnsi" w:hAnsiTheme="minorHAnsi" w:cstheme="minorHAnsi"/>
        </w:rPr>
        <w:t xml:space="preserve"> </w:t>
      </w:r>
    </w:p>
    <w:p w14:paraId="3A4D322A" w14:textId="77777777" w:rsidR="008F5821" w:rsidRPr="00AB1182" w:rsidRDefault="008F5821" w:rsidP="00305B0C">
      <w:pPr>
        <w:pStyle w:val="Default"/>
        <w:jc w:val="both"/>
        <w:rPr>
          <w:rFonts w:asciiTheme="minorHAnsi" w:hAnsiTheme="minorHAnsi" w:cstheme="minorHAnsi"/>
        </w:rPr>
      </w:pPr>
    </w:p>
    <w:p w14:paraId="145A0361" w14:textId="5A4BF33A" w:rsidR="005830BC" w:rsidRPr="00AB1182" w:rsidRDefault="0015785A" w:rsidP="00305B0C">
      <w:pPr>
        <w:pStyle w:val="Default"/>
        <w:jc w:val="both"/>
        <w:rPr>
          <w:rFonts w:asciiTheme="minorHAnsi" w:hAnsiTheme="minorHAnsi" w:cstheme="minorHAnsi"/>
          <w:lang w:val="en-US"/>
        </w:rPr>
      </w:pPr>
      <w:r w:rsidRPr="00AB1182">
        <w:rPr>
          <w:rFonts w:asciiTheme="minorHAnsi" w:hAnsiTheme="minorHAnsi" w:cstheme="minorHAnsi"/>
          <w:lang w:val="en-US"/>
        </w:rPr>
        <w:t>In the assessment of</w:t>
      </w:r>
      <w:r w:rsidR="00C110A5" w:rsidRPr="00AB1182">
        <w:rPr>
          <w:rFonts w:asciiTheme="minorHAnsi" w:hAnsiTheme="minorHAnsi" w:cstheme="minorHAnsi"/>
          <w:lang w:val="en-US"/>
        </w:rPr>
        <w:t xml:space="preserve"> which strategy worked best, both</w:t>
      </w:r>
      <w:r w:rsidR="00CB521C" w:rsidRPr="00AB1182">
        <w:rPr>
          <w:rFonts w:asciiTheme="minorHAnsi" w:hAnsiTheme="minorHAnsi" w:cstheme="minorHAnsi"/>
          <w:lang w:val="en-US"/>
        </w:rPr>
        <w:t>,</w:t>
      </w:r>
      <w:r w:rsidR="00C110A5" w:rsidRPr="00AB1182">
        <w:rPr>
          <w:rFonts w:asciiTheme="minorHAnsi" w:hAnsiTheme="minorHAnsi" w:cstheme="minorHAnsi"/>
          <w:lang w:val="en-US"/>
        </w:rPr>
        <w:t xml:space="preserve"> in sample </w:t>
      </w:r>
      <w:r w:rsidR="00EB599B" w:rsidRPr="00AB1182">
        <w:rPr>
          <w:rFonts w:asciiTheme="minorHAnsi" w:hAnsiTheme="minorHAnsi" w:cstheme="minorHAnsi"/>
          <w:lang w:val="en-US"/>
        </w:rPr>
        <w:t xml:space="preserve">analysis </w:t>
      </w:r>
      <w:r w:rsidR="0082309E" w:rsidRPr="00AB1182">
        <w:rPr>
          <w:rFonts w:asciiTheme="minorHAnsi" w:hAnsiTheme="minorHAnsi" w:cstheme="minorHAnsi"/>
          <w:lang w:val="en-US"/>
        </w:rPr>
        <w:t xml:space="preserve">and </w:t>
      </w:r>
      <w:r w:rsidR="00C110A5" w:rsidRPr="00AB1182">
        <w:rPr>
          <w:rFonts w:asciiTheme="minorHAnsi" w:hAnsiTheme="minorHAnsi" w:cstheme="minorHAnsi"/>
          <w:lang w:val="en-US"/>
        </w:rPr>
        <w:t xml:space="preserve">out of sample </w:t>
      </w:r>
      <w:r w:rsidR="00EB599B" w:rsidRPr="00AB1182">
        <w:rPr>
          <w:rFonts w:asciiTheme="minorHAnsi" w:hAnsiTheme="minorHAnsi" w:cstheme="minorHAnsi"/>
          <w:lang w:val="en-US"/>
        </w:rPr>
        <w:t>forecasting</w:t>
      </w:r>
      <w:r w:rsidR="00C110A5" w:rsidRPr="00AB1182">
        <w:rPr>
          <w:rFonts w:asciiTheme="minorHAnsi" w:hAnsiTheme="minorHAnsi" w:cstheme="minorHAnsi"/>
          <w:lang w:val="en-US"/>
        </w:rPr>
        <w:t xml:space="preserve"> w</w:t>
      </w:r>
      <w:r w:rsidR="00DE535E" w:rsidRPr="00AB1182">
        <w:rPr>
          <w:rFonts w:asciiTheme="minorHAnsi" w:hAnsiTheme="minorHAnsi" w:cstheme="minorHAnsi"/>
          <w:lang w:val="en-US"/>
        </w:rPr>
        <w:t>ere</w:t>
      </w:r>
      <w:r w:rsidR="00C110A5" w:rsidRPr="00AB1182">
        <w:rPr>
          <w:rFonts w:asciiTheme="minorHAnsi" w:hAnsiTheme="minorHAnsi" w:cstheme="minorHAnsi"/>
          <w:lang w:val="en-US"/>
        </w:rPr>
        <w:t xml:space="preserve"> </w:t>
      </w:r>
      <w:r w:rsidR="00EB599B" w:rsidRPr="00AB1182">
        <w:rPr>
          <w:rFonts w:asciiTheme="minorHAnsi" w:hAnsiTheme="minorHAnsi" w:cstheme="minorHAnsi"/>
          <w:lang w:val="en-US"/>
        </w:rPr>
        <w:t>carrie</w:t>
      </w:r>
      <w:r w:rsidR="00387CC7" w:rsidRPr="00AB1182">
        <w:rPr>
          <w:rFonts w:asciiTheme="minorHAnsi" w:hAnsiTheme="minorHAnsi" w:cstheme="minorHAnsi"/>
          <w:lang w:val="en-US"/>
        </w:rPr>
        <w:t>d</w:t>
      </w:r>
      <w:r w:rsidR="00EB599B" w:rsidRPr="00AB1182">
        <w:rPr>
          <w:rFonts w:asciiTheme="minorHAnsi" w:hAnsiTheme="minorHAnsi" w:cstheme="minorHAnsi"/>
          <w:lang w:val="en-US"/>
        </w:rPr>
        <w:t xml:space="preserve"> out</w:t>
      </w:r>
      <w:r w:rsidR="00E00A20" w:rsidRPr="00AB1182">
        <w:rPr>
          <w:rFonts w:asciiTheme="minorHAnsi" w:hAnsiTheme="minorHAnsi" w:cstheme="minorHAnsi"/>
          <w:lang w:val="en-US"/>
        </w:rPr>
        <w:t xml:space="preserve">. For this purpose, the hedge ratio computed </w:t>
      </w:r>
      <w:proofErr w:type="gramStart"/>
      <w:r w:rsidR="00E00A20" w:rsidRPr="00AB1182">
        <w:rPr>
          <w:rFonts w:asciiTheme="minorHAnsi" w:hAnsiTheme="minorHAnsi" w:cstheme="minorHAnsi"/>
          <w:lang w:val="en-US"/>
        </w:rPr>
        <w:t>from in</w:t>
      </w:r>
      <w:proofErr w:type="gramEnd"/>
      <w:r w:rsidR="00E00A20" w:rsidRPr="00AB1182">
        <w:rPr>
          <w:rFonts w:asciiTheme="minorHAnsi" w:hAnsiTheme="minorHAnsi" w:cstheme="minorHAnsi"/>
          <w:lang w:val="en-US"/>
        </w:rPr>
        <w:t xml:space="preserve"> sample analysis was </w:t>
      </w:r>
      <w:r w:rsidR="00AA4214" w:rsidRPr="00AB1182">
        <w:rPr>
          <w:rFonts w:asciiTheme="minorHAnsi" w:hAnsiTheme="minorHAnsi" w:cstheme="minorHAnsi"/>
          <w:lang w:val="en-US"/>
        </w:rPr>
        <w:t xml:space="preserve">applied to out of sample datasets to gauge </w:t>
      </w:r>
      <w:r w:rsidR="00B13894" w:rsidRPr="00AB1182">
        <w:rPr>
          <w:rFonts w:asciiTheme="minorHAnsi" w:hAnsiTheme="minorHAnsi" w:cstheme="minorHAnsi"/>
          <w:lang w:val="en-US"/>
        </w:rPr>
        <w:t xml:space="preserve">the </w:t>
      </w:r>
      <w:r w:rsidR="00AA4214" w:rsidRPr="00AB1182">
        <w:rPr>
          <w:rFonts w:asciiTheme="minorHAnsi" w:hAnsiTheme="minorHAnsi" w:cstheme="minorHAnsi"/>
          <w:lang w:val="en-US"/>
        </w:rPr>
        <w:t>performance of the</w:t>
      </w:r>
      <w:r w:rsidR="00B13894" w:rsidRPr="00AB1182">
        <w:rPr>
          <w:rFonts w:asciiTheme="minorHAnsi" w:hAnsiTheme="minorHAnsi" w:cstheme="minorHAnsi"/>
          <w:lang w:val="en-US"/>
        </w:rPr>
        <w:t xml:space="preserve"> proposed</w:t>
      </w:r>
      <w:r w:rsidR="00AA4214" w:rsidRPr="00AB1182">
        <w:rPr>
          <w:rFonts w:asciiTheme="minorHAnsi" w:hAnsiTheme="minorHAnsi" w:cstheme="minorHAnsi"/>
          <w:lang w:val="en-US"/>
        </w:rPr>
        <w:t xml:space="preserve"> hedge</w:t>
      </w:r>
      <w:r w:rsidR="00B13894" w:rsidRPr="00AB1182">
        <w:rPr>
          <w:rFonts w:asciiTheme="minorHAnsi" w:hAnsiTheme="minorHAnsi" w:cstheme="minorHAnsi"/>
          <w:lang w:val="en-US"/>
        </w:rPr>
        <w:t>s</w:t>
      </w:r>
      <w:r w:rsidR="0082309E" w:rsidRPr="00AB1182">
        <w:rPr>
          <w:rFonts w:asciiTheme="minorHAnsi" w:hAnsiTheme="minorHAnsi" w:cstheme="minorHAnsi"/>
          <w:lang w:val="en-US"/>
        </w:rPr>
        <w:t>.</w:t>
      </w:r>
      <w:r w:rsidR="00E50C0C" w:rsidRPr="00AB1182">
        <w:rPr>
          <w:rFonts w:asciiTheme="minorHAnsi" w:hAnsiTheme="minorHAnsi" w:cstheme="minorHAnsi"/>
          <w:lang w:val="en-US"/>
        </w:rPr>
        <w:t xml:space="preserve"> </w:t>
      </w:r>
      <w:r w:rsidR="00DA1508" w:rsidRPr="00AB1182">
        <w:rPr>
          <w:rFonts w:asciiTheme="minorHAnsi" w:hAnsiTheme="minorHAnsi" w:cstheme="minorHAnsi"/>
          <w:lang w:val="en-US"/>
        </w:rPr>
        <w:t xml:space="preserve">The differences in variances </w:t>
      </w:r>
      <w:r w:rsidR="00B13894" w:rsidRPr="00AB1182">
        <w:rPr>
          <w:rFonts w:asciiTheme="minorHAnsi" w:hAnsiTheme="minorHAnsi" w:cstheme="minorHAnsi"/>
          <w:lang w:val="en-US"/>
        </w:rPr>
        <w:t xml:space="preserve">between hedged and unhedged positions </w:t>
      </w:r>
      <w:proofErr w:type="gramStart"/>
      <w:r w:rsidR="00DA1508" w:rsidRPr="00AB1182">
        <w:rPr>
          <w:rFonts w:asciiTheme="minorHAnsi" w:hAnsiTheme="minorHAnsi" w:cstheme="minorHAnsi"/>
          <w:lang w:val="en-US"/>
        </w:rPr>
        <w:t xml:space="preserve">and </w:t>
      </w:r>
      <w:r w:rsidR="00B13894" w:rsidRPr="00AB1182">
        <w:rPr>
          <w:rFonts w:asciiTheme="minorHAnsi" w:hAnsiTheme="minorHAnsi" w:cstheme="minorHAnsi"/>
          <w:lang w:val="en-US"/>
        </w:rPr>
        <w:t>also</w:t>
      </w:r>
      <w:proofErr w:type="gramEnd"/>
      <w:r w:rsidR="00B13894" w:rsidRPr="00AB1182">
        <w:rPr>
          <w:rFonts w:asciiTheme="minorHAnsi" w:hAnsiTheme="minorHAnsi" w:cstheme="minorHAnsi"/>
          <w:lang w:val="en-US"/>
        </w:rPr>
        <w:t xml:space="preserve"> the </w:t>
      </w:r>
      <w:r w:rsidR="00DA1508" w:rsidRPr="00AB1182">
        <w:rPr>
          <w:rFonts w:asciiTheme="minorHAnsi" w:hAnsiTheme="minorHAnsi" w:cstheme="minorHAnsi"/>
          <w:lang w:val="en-US"/>
        </w:rPr>
        <w:t xml:space="preserve">hedge effectiveness were </w:t>
      </w:r>
      <w:r w:rsidR="00CA3E0D" w:rsidRPr="00AB1182">
        <w:rPr>
          <w:rFonts w:asciiTheme="minorHAnsi" w:hAnsiTheme="minorHAnsi" w:cstheme="minorHAnsi"/>
          <w:lang w:val="en-US"/>
        </w:rPr>
        <w:t xml:space="preserve">parameters </w:t>
      </w:r>
      <w:r w:rsidR="00DA1508" w:rsidRPr="00AB1182">
        <w:rPr>
          <w:rFonts w:asciiTheme="minorHAnsi" w:hAnsiTheme="minorHAnsi" w:cstheme="minorHAnsi"/>
          <w:lang w:val="en-US"/>
        </w:rPr>
        <w:t>looked at t</w:t>
      </w:r>
      <w:r w:rsidR="00817300" w:rsidRPr="00AB1182">
        <w:rPr>
          <w:rFonts w:asciiTheme="minorHAnsi" w:hAnsiTheme="minorHAnsi" w:cstheme="minorHAnsi"/>
          <w:lang w:val="en-US"/>
        </w:rPr>
        <w:t xml:space="preserve">o compare which strategy outperformed </w:t>
      </w:r>
      <w:r w:rsidR="0069741A" w:rsidRPr="00AB1182">
        <w:rPr>
          <w:rFonts w:asciiTheme="minorHAnsi" w:hAnsiTheme="minorHAnsi" w:cstheme="minorHAnsi"/>
          <w:lang w:val="en-US"/>
        </w:rPr>
        <w:t>across different time periods.</w:t>
      </w:r>
    </w:p>
    <w:p w14:paraId="38B34DBB" w14:textId="399E0F6E" w:rsidR="002E76E1" w:rsidRPr="00AB1182" w:rsidRDefault="009B0A97" w:rsidP="00F87CCE">
      <w:pPr>
        <w:pStyle w:val="Heading1"/>
        <w:rPr>
          <w:rFonts w:asciiTheme="minorHAnsi" w:hAnsiTheme="minorHAnsi" w:cstheme="minorHAnsi"/>
        </w:rPr>
      </w:pPr>
      <w:r>
        <w:rPr>
          <w:rFonts w:asciiTheme="minorHAnsi" w:hAnsiTheme="minorHAnsi" w:cstheme="minorHAnsi"/>
        </w:rPr>
        <w:t>Our Results</w:t>
      </w:r>
    </w:p>
    <w:p w14:paraId="3ADFC871" w14:textId="466D2F89" w:rsidR="0008631B" w:rsidRDefault="00845F55" w:rsidP="00305B0C">
      <w:pPr>
        <w:rPr>
          <w:rFonts w:asciiTheme="minorHAnsi" w:hAnsiTheme="minorHAnsi" w:cstheme="minorHAnsi"/>
        </w:rPr>
      </w:pPr>
      <w:r w:rsidRPr="00AB1182">
        <w:rPr>
          <w:rFonts w:asciiTheme="minorHAnsi" w:hAnsiTheme="minorHAnsi" w:cstheme="minorHAnsi"/>
        </w:rPr>
        <w:t xml:space="preserve">When considering the choice of futures contracts for the hedge, </w:t>
      </w:r>
      <w:r w:rsidR="00825C12" w:rsidRPr="00AB1182">
        <w:rPr>
          <w:rFonts w:asciiTheme="minorHAnsi" w:hAnsiTheme="minorHAnsi" w:cstheme="minorHAnsi"/>
        </w:rPr>
        <w:t xml:space="preserve">it </w:t>
      </w:r>
      <w:r w:rsidR="00195B04" w:rsidRPr="00AB1182">
        <w:rPr>
          <w:rFonts w:asciiTheme="minorHAnsi" w:hAnsiTheme="minorHAnsi" w:cstheme="minorHAnsi"/>
        </w:rPr>
        <w:t>is imperative</w:t>
      </w:r>
      <w:r w:rsidR="00825C12" w:rsidRPr="00AB1182">
        <w:rPr>
          <w:rFonts w:asciiTheme="minorHAnsi" w:hAnsiTheme="minorHAnsi" w:cstheme="minorHAnsi"/>
        </w:rPr>
        <w:t xml:space="preserve"> that the correlation between the </w:t>
      </w:r>
      <w:r w:rsidR="004B387C" w:rsidRPr="00AB1182">
        <w:rPr>
          <w:rFonts w:asciiTheme="minorHAnsi" w:hAnsiTheme="minorHAnsi" w:cstheme="minorHAnsi"/>
        </w:rPr>
        <w:t xml:space="preserve">asset to be hedged and the underlying asset in the futures contract is </w:t>
      </w:r>
      <w:r w:rsidR="00BD0C77">
        <w:rPr>
          <w:rFonts w:asciiTheme="minorHAnsi" w:hAnsiTheme="minorHAnsi" w:cstheme="minorHAnsi"/>
        </w:rPr>
        <w:t>high</w:t>
      </w:r>
      <w:r w:rsidR="004B387C" w:rsidRPr="00AB1182">
        <w:rPr>
          <w:rFonts w:asciiTheme="minorHAnsi" w:hAnsiTheme="minorHAnsi" w:cstheme="minorHAnsi"/>
        </w:rPr>
        <w:t>. A</w:t>
      </w:r>
      <w:r w:rsidR="00CE7F0D" w:rsidRPr="00AB1182">
        <w:rPr>
          <w:rFonts w:asciiTheme="minorHAnsi" w:hAnsiTheme="minorHAnsi" w:cstheme="minorHAnsi"/>
        </w:rPr>
        <w:t xml:space="preserve"> </w:t>
      </w:r>
      <w:r w:rsidR="00A46F27" w:rsidRPr="00AB1182">
        <w:rPr>
          <w:rFonts w:asciiTheme="minorHAnsi" w:hAnsiTheme="minorHAnsi" w:cstheme="minorHAnsi"/>
        </w:rPr>
        <w:t xml:space="preserve">strong </w:t>
      </w:r>
      <w:r w:rsidR="00CE7F0D" w:rsidRPr="00AB1182">
        <w:rPr>
          <w:rFonts w:asciiTheme="minorHAnsi" w:hAnsiTheme="minorHAnsi" w:cstheme="minorHAnsi"/>
        </w:rPr>
        <w:t>positive</w:t>
      </w:r>
      <w:r w:rsidR="004B387C" w:rsidRPr="00AB1182">
        <w:rPr>
          <w:rFonts w:asciiTheme="minorHAnsi" w:hAnsiTheme="minorHAnsi" w:cstheme="minorHAnsi"/>
        </w:rPr>
        <w:t xml:space="preserve"> correlation indicates </w:t>
      </w:r>
      <w:r w:rsidR="00CE7F0D" w:rsidRPr="00AB1182">
        <w:rPr>
          <w:rFonts w:asciiTheme="minorHAnsi" w:hAnsiTheme="minorHAnsi" w:cstheme="minorHAnsi"/>
        </w:rPr>
        <w:t xml:space="preserve">that the </w:t>
      </w:r>
      <w:r w:rsidR="00A46F27" w:rsidRPr="00AB1182">
        <w:rPr>
          <w:rFonts w:asciiTheme="minorHAnsi" w:hAnsiTheme="minorHAnsi" w:cstheme="minorHAnsi"/>
        </w:rPr>
        <w:t>movement in</w:t>
      </w:r>
      <w:r w:rsidR="00CE7F0D" w:rsidRPr="00AB1182">
        <w:rPr>
          <w:rFonts w:asciiTheme="minorHAnsi" w:hAnsiTheme="minorHAnsi" w:cstheme="minorHAnsi"/>
        </w:rPr>
        <w:t xml:space="preserve"> prices between the two assets </w:t>
      </w:r>
      <w:r w:rsidR="00A46F27" w:rsidRPr="00AB1182">
        <w:rPr>
          <w:rFonts w:asciiTheme="minorHAnsi" w:hAnsiTheme="minorHAnsi" w:cstheme="minorHAnsi"/>
        </w:rPr>
        <w:t>occurs</w:t>
      </w:r>
      <w:r w:rsidR="00CE7F0D" w:rsidRPr="00AB1182">
        <w:rPr>
          <w:rFonts w:asciiTheme="minorHAnsi" w:hAnsiTheme="minorHAnsi" w:cstheme="minorHAnsi"/>
        </w:rPr>
        <w:t xml:space="preserve"> </w:t>
      </w:r>
      <w:r w:rsidR="00A46F27" w:rsidRPr="00AB1182">
        <w:rPr>
          <w:rFonts w:asciiTheme="minorHAnsi" w:hAnsiTheme="minorHAnsi" w:cstheme="minorHAnsi"/>
        </w:rPr>
        <w:t>in a similar manner and direction. From our analysis, we noted a strong position correlation between J</w:t>
      </w:r>
      <w:r w:rsidRPr="00AB1182">
        <w:rPr>
          <w:rFonts w:asciiTheme="minorHAnsi" w:hAnsiTheme="minorHAnsi" w:cstheme="minorHAnsi"/>
        </w:rPr>
        <w:t xml:space="preserve">et Fuel spot prices and </w:t>
      </w:r>
      <w:r w:rsidR="00A46F27" w:rsidRPr="00AB1182">
        <w:rPr>
          <w:rFonts w:asciiTheme="minorHAnsi" w:hAnsiTheme="minorHAnsi" w:cstheme="minorHAnsi"/>
        </w:rPr>
        <w:t>Heating oil futures prices</w:t>
      </w:r>
      <w:r w:rsidR="008734FF">
        <w:rPr>
          <w:rFonts w:asciiTheme="minorHAnsi" w:hAnsiTheme="minorHAnsi" w:cstheme="minorHAnsi"/>
        </w:rPr>
        <w:t xml:space="preserve"> across all sample periods</w:t>
      </w:r>
      <w:r w:rsidR="00A46F27" w:rsidRPr="00AB1182">
        <w:rPr>
          <w:rFonts w:asciiTheme="minorHAnsi" w:hAnsiTheme="minorHAnsi" w:cstheme="minorHAnsi"/>
        </w:rPr>
        <w:t>.</w:t>
      </w:r>
      <w:r w:rsidR="008734FF">
        <w:rPr>
          <w:rFonts w:asciiTheme="minorHAnsi" w:hAnsiTheme="minorHAnsi" w:cstheme="minorHAnsi"/>
        </w:rPr>
        <w:t xml:space="preserve"> In contrast, crude oil </w:t>
      </w:r>
      <w:r w:rsidR="4B48658A" w:rsidRPr="00AB1182">
        <w:rPr>
          <w:rFonts w:asciiTheme="minorHAnsi" w:hAnsiTheme="minorHAnsi" w:cstheme="minorHAnsi"/>
        </w:rPr>
        <w:t xml:space="preserve">futures had </w:t>
      </w:r>
      <w:r w:rsidR="00FB25F8">
        <w:rPr>
          <w:rFonts w:asciiTheme="minorHAnsi" w:hAnsiTheme="minorHAnsi" w:cstheme="minorHAnsi"/>
        </w:rPr>
        <w:t xml:space="preserve">a </w:t>
      </w:r>
      <w:r w:rsidR="4B48658A" w:rsidRPr="00AB1182">
        <w:rPr>
          <w:rFonts w:asciiTheme="minorHAnsi" w:hAnsiTheme="minorHAnsi" w:cstheme="minorHAnsi"/>
        </w:rPr>
        <w:t>very l</w:t>
      </w:r>
      <w:r w:rsidR="008734FF">
        <w:rPr>
          <w:rFonts w:asciiTheme="minorHAnsi" w:hAnsiTheme="minorHAnsi" w:cstheme="minorHAnsi"/>
        </w:rPr>
        <w:t>ow</w:t>
      </w:r>
      <w:r w:rsidR="4B48658A" w:rsidRPr="00AB1182">
        <w:rPr>
          <w:rFonts w:asciiTheme="minorHAnsi" w:hAnsiTheme="minorHAnsi" w:cstheme="minorHAnsi"/>
        </w:rPr>
        <w:t xml:space="preserve"> correlation with spot prices of jet fuel</w:t>
      </w:r>
      <w:r w:rsidR="00FB25F8">
        <w:rPr>
          <w:rFonts w:asciiTheme="minorHAnsi" w:hAnsiTheme="minorHAnsi" w:cstheme="minorHAnsi"/>
        </w:rPr>
        <w:t xml:space="preserve"> with a negative correlation in Sample 2. From these results, we can infer that crude oil w</w:t>
      </w:r>
      <w:r w:rsidR="4B48658A" w:rsidRPr="00AB1182">
        <w:rPr>
          <w:rFonts w:asciiTheme="minorHAnsi" w:hAnsiTheme="minorHAnsi" w:cstheme="minorHAnsi"/>
        </w:rPr>
        <w:t>ould not provide a material hedge against</w:t>
      </w:r>
      <w:r w:rsidR="7CE3AEAE" w:rsidRPr="00AB1182">
        <w:rPr>
          <w:rFonts w:asciiTheme="minorHAnsi" w:hAnsiTheme="minorHAnsi" w:cstheme="minorHAnsi"/>
        </w:rPr>
        <w:t xml:space="preserve"> market risk.</w:t>
      </w:r>
    </w:p>
    <w:p w14:paraId="7FC258E2" w14:textId="77777777" w:rsidR="00B510B7" w:rsidRDefault="00B510B7" w:rsidP="00305B0C">
      <w:pPr>
        <w:rPr>
          <w:rFonts w:asciiTheme="minorHAnsi" w:hAnsiTheme="minorHAnsi" w:cstheme="minorHAnsi"/>
        </w:rPr>
      </w:pPr>
    </w:p>
    <w:p w14:paraId="60F8D339" w14:textId="77777777" w:rsidR="00B510B7" w:rsidRPr="00AB1182" w:rsidRDefault="00B510B7" w:rsidP="00305B0C">
      <w:pPr>
        <w:rPr>
          <w:rFonts w:asciiTheme="minorHAnsi" w:hAnsiTheme="minorHAnsi" w:cstheme="minorHAnsi"/>
        </w:rPr>
      </w:pPr>
    </w:p>
    <w:p w14:paraId="25EE586B" w14:textId="2EA43110" w:rsidR="00A46F27" w:rsidRDefault="00A46F27" w:rsidP="00305B0C">
      <w:pPr>
        <w:rPr>
          <w:rFonts w:asciiTheme="minorHAnsi" w:hAnsiTheme="minorHAnsi" w:cstheme="minorHAnsi"/>
        </w:rPr>
      </w:pPr>
    </w:p>
    <w:tbl>
      <w:tblPr>
        <w:tblW w:w="5000" w:type="pct"/>
        <w:tblLook w:val="04A0" w:firstRow="1" w:lastRow="0" w:firstColumn="1" w:lastColumn="0" w:noHBand="0" w:noVBand="1"/>
      </w:tblPr>
      <w:tblGrid>
        <w:gridCol w:w="4265"/>
        <w:gridCol w:w="1442"/>
        <w:gridCol w:w="1425"/>
        <w:gridCol w:w="1167"/>
      </w:tblGrid>
      <w:tr w:rsidR="000858D3" w:rsidRPr="00AB1182" w14:paraId="275884C9" w14:textId="77777777" w:rsidTr="0002712F">
        <w:trPr>
          <w:trHeight w:val="260"/>
        </w:trPr>
        <w:tc>
          <w:tcPr>
            <w:tcW w:w="2571" w:type="pct"/>
            <w:vMerge w:val="restart"/>
            <w:tcBorders>
              <w:top w:val="single" w:sz="4" w:space="0" w:color="auto"/>
              <w:left w:val="single" w:sz="4" w:space="0" w:color="auto"/>
              <w:bottom w:val="single" w:sz="4" w:space="0" w:color="auto"/>
              <w:right w:val="single" w:sz="4" w:space="0" w:color="auto"/>
            </w:tcBorders>
            <w:noWrap/>
            <w:vAlign w:val="bottom"/>
            <w:hideMark/>
          </w:tcPr>
          <w:p w14:paraId="6108D8CA" w14:textId="77777777" w:rsidR="000858D3" w:rsidRPr="00AB1182" w:rsidRDefault="000858D3" w:rsidP="0002712F">
            <w:pPr>
              <w:jc w:val="center"/>
              <w:rPr>
                <w:rFonts w:asciiTheme="minorHAnsi" w:hAnsiTheme="minorHAnsi" w:cstheme="minorHAnsi"/>
                <w:b/>
                <w:bCs/>
                <w:color w:val="000000"/>
                <w:sz w:val="20"/>
                <w:szCs w:val="20"/>
                <w:lang w:val="en-AU" w:eastAsia="en-AU"/>
              </w:rPr>
            </w:pPr>
            <w:r w:rsidRPr="00AB1182">
              <w:rPr>
                <w:rFonts w:asciiTheme="minorHAnsi" w:hAnsiTheme="minorHAnsi" w:cstheme="minorHAnsi"/>
                <w:b/>
                <w:bCs/>
                <w:color w:val="000000"/>
                <w:sz w:val="20"/>
                <w:szCs w:val="20"/>
              </w:rPr>
              <w:lastRenderedPageBreak/>
              <w:t>Correlation</w:t>
            </w:r>
          </w:p>
        </w:tc>
        <w:tc>
          <w:tcPr>
            <w:tcW w:w="870" w:type="pct"/>
            <w:tcBorders>
              <w:top w:val="single" w:sz="4" w:space="0" w:color="auto"/>
              <w:left w:val="nil"/>
              <w:bottom w:val="single" w:sz="4" w:space="0" w:color="auto"/>
              <w:right w:val="single" w:sz="4" w:space="0" w:color="auto"/>
            </w:tcBorders>
            <w:noWrap/>
            <w:vAlign w:val="bottom"/>
            <w:hideMark/>
          </w:tcPr>
          <w:p w14:paraId="2B71B99E" w14:textId="77777777" w:rsidR="000858D3" w:rsidRPr="00AB1182" w:rsidRDefault="000858D3"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1</w:t>
            </w:r>
          </w:p>
        </w:tc>
        <w:tc>
          <w:tcPr>
            <w:tcW w:w="860" w:type="pct"/>
            <w:tcBorders>
              <w:top w:val="single" w:sz="4" w:space="0" w:color="auto"/>
              <w:left w:val="nil"/>
              <w:bottom w:val="single" w:sz="4" w:space="0" w:color="auto"/>
              <w:right w:val="single" w:sz="4" w:space="0" w:color="auto"/>
            </w:tcBorders>
            <w:noWrap/>
            <w:vAlign w:val="bottom"/>
            <w:hideMark/>
          </w:tcPr>
          <w:p w14:paraId="44EA9C05" w14:textId="77777777" w:rsidR="000858D3" w:rsidRPr="00AB1182" w:rsidRDefault="000858D3"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2</w:t>
            </w:r>
          </w:p>
        </w:tc>
        <w:tc>
          <w:tcPr>
            <w:tcW w:w="698" w:type="pct"/>
            <w:tcBorders>
              <w:top w:val="single" w:sz="4" w:space="0" w:color="auto"/>
              <w:left w:val="nil"/>
              <w:bottom w:val="single" w:sz="4" w:space="0" w:color="auto"/>
              <w:right w:val="single" w:sz="4" w:space="0" w:color="auto"/>
            </w:tcBorders>
            <w:noWrap/>
            <w:vAlign w:val="bottom"/>
            <w:hideMark/>
          </w:tcPr>
          <w:p w14:paraId="77703970" w14:textId="77777777" w:rsidR="000858D3" w:rsidRPr="00AB1182" w:rsidRDefault="000858D3"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3</w:t>
            </w:r>
          </w:p>
        </w:tc>
      </w:tr>
      <w:tr w:rsidR="000858D3" w:rsidRPr="00AB1182" w14:paraId="4DE10D99" w14:textId="77777777" w:rsidTr="0002712F">
        <w:trPr>
          <w:trHeight w:val="260"/>
        </w:trPr>
        <w:tc>
          <w:tcPr>
            <w:tcW w:w="2571" w:type="pct"/>
            <w:vMerge/>
            <w:tcBorders>
              <w:top w:val="single" w:sz="4" w:space="0" w:color="auto"/>
              <w:left w:val="single" w:sz="4" w:space="0" w:color="auto"/>
              <w:bottom w:val="single" w:sz="4" w:space="0" w:color="auto"/>
              <w:right w:val="single" w:sz="4" w:space="0" w:color="auto"/>
            </w:tcBorders>
            <w:vAlign w:val="center"/>
            <w:hideMark/>
          </w:tcPr>
          <w:p w14:paraId="09EAD9AE" w14:textId="77777777" w:rsidR="000858D3" w:rsidRPr="00AB1182" w:rsidRDefault="000858D3" w:rsidP="0002712F">
            <w:pPr>
              <w:rPr>
                <w:rFonts w:asciiTheme="minorHAnsi" w:hAnsiTheme="minorHAnsi" w:cstheme="minorHAnsi"/>
                <w:b/>
                <w:bCs/>
                <w:color w:val="000000"/>
                <w:sz w:val="20"/>
                <w:szCs w:val="20"/>
              </w:rPr>
            </w:pPr>
          </w:p>
        </w:tc>
        <w:tc>
          <w:tcPr>
            <w:tcW w:w="2429" w:type="pct"/>
            <w:gridSpan w:val="3"/>
            <w:tcBorders>
              <w:top w:val="single" w:sz="4" w:space="0" w:color="auto"/>
              <w:left w:val="nil"/>
              <w:bottom w:val="single" w:sz="4" w:space="0" w:color="auto"/>
              <w:right w:val="single" w:sz="4" w:space="0" w:color="000000"/>
            </w:tcBorders>
            <w:noWrap/>
            <w:vAlign w:val="bottom"/>
            <w:hideMark/>
          </w:tcPr>
          <w:p w14:paraId="11ADA6B4" w14:textId="77777777" w:rsidR="000858D3" w:rsidRPr="00AB1182" w:rsidRDefault="000858D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Jet fuel spot prices</w:t>
            </w:r>
          </w:p>
        </w:tc>
      </w:tr>
      <w:tr w:rsidR="000858D3" w:rsidRPr="00AB1182" w14:paraId="43A09323" w14:textId="77777777" w:rsidTr="0002712F">
        <w:trPr>
          <w:trHeight w:val="260"/>
        </w:trPr>
        <w:tc>
          <w:tcPr>
            <w:tcW w:w="2571" w:type="pct"/>
            <w:tcBorders>
              <w:top w:val="nil"/>
              <w:left w:val="single" w:sz="4" w:space="0" w:color="auto"/>
              <w:bottom w:val="single" w:sz="4" w:space="0" w:color="auto"/>
              <w:right w:val="single" w:sz="4" w:space="0" w:color="auto"/>
            </w:tcBorders>
            <w:noWrap/>
            <w:vAlign w:val="bottom"/>
            <w:hideMark/>
          </w:tcPr>
          <w:p w14:paraId="4DD387FD" w14:textId="77777777" w:rsidR="000858D3" w:rsidRPr="00AB1182" w:rsidRDefault="000858D3"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Heating oil</w:t>
            </w:r>
          </w:p>
        </w:tc>
        <w:tc>
          <w:tcPr>
            <w:tcW w:w="870" w:type="pct"/>
            <w:tcBorders>
              <w:top w:val="nil"/>
              <w:left w:val="nil"/>
              <w:bottom w:val="single" w:sz="4" w:space="0" w:color="auto"/>
              <w:right w:val="single" w:sz="4" w:space="0" w:color="auto"/>
            </w:tcBorders>
            <w:noWrap/>
            <w:vAlign w:val="bottom"/>
            <w:hideMark/>
          </w:tcPr>
          <w:p w14:paraId="4714D3D8"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0.89</w:t>
            </w:r>
          </w:p>
        </w:tc>
        <w:tc>
          <w:tcPr>
            <w:tcW w:w="860" w:type="pct"/>
            <w:tcBorders>
              <w:top w:val="nil"/>
              <w:left w:val="nil"/>
              <w:bottom w:val="single" w:sz="4" w:space="0" w:color="auto"/>
              <w:right w:val="single" w:sz="4" w:space="0" w:color="auto"/>
            </w:tcBorders>
            <w:noWrap/>
            <w:vAlign w:val="bottom"/>
            <w:hideMark/>
          </w:tcPr>
          <w:p w14:paraId="050FE4A2"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0.85</w:t>
            </w:r>
          </w:p>
        </w:tc>
        <w:tc>
          <w:tcPr>
            <w:tcW w:w="698" w:type="pct"/>
            <w:tcBorders>
              <w:top w:val="nil"/>
              <w:left w:val="nil"/>
              <w:bottom w:val="single" w:sz="4" w:space="0" w:color="auto"/>
              <w:right w:val="single" w:sz="4" w:space="0" w:color="auto"/>
            </w:tcBorders>
            <w:noWrap/>
            <w:vAlign w:val="bottom"/>
            <w:hideMark/>
          </w:tcPr>
          <w:p w14:paraId="4DC2C230"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0.82</w:t>
            </w:r>
          </w:p>
        </w:tc>
      </w:tr>
      <w:tr w:rsidR="000858D3" w:rsidRPr="00AB1182" w14:paraId="4D724DB9" w14:textId="77777777" w:rsidTr="0002712F">
        <w:trPr>
          <w:trHeight w:val="260"/>
        </w:trPr>
        <w:tc>
          <w:tcPr>
            <w:tcW w:w="2571" w:type="pct"/>
            <w:tcBorders>
              <w:top w:val="nil"/>
              <w:left w:val="single" w:sz="4" w:space="0" w:color="auto"/>
              <w:bottom w:val="single" w:sz="4" w:space="0" w:color="auto"/>
              <w:right w:val="single" w:sz="4" w:space="0" w:color="auto"/>
            </w:tcBorders>
            <w:noWrap/>
            <w:vAlign w:val="bottom"/>
            <w:hideMark/>
          </w:tcPr>
          <w:p w14:paraId="02398E8B" w14:textId="77777777" w:rsidR="000858D3" w:rsidRPr="00AB1182" w:rsidRDefault="000858D3"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Crude oil</w:t>
            </w:r>
          </w:p>
        </w:tc>
        <w:tc>
          <w:tcPr>
            <w:tcW w:w="870" w:type="pct"/>
            <w:tcBorders>
              <w:top w:val="nil"/>
              <w:left w:val="nil"/>
              <w:bottom w:val="single" w:sz="4" w:space="0" w:color="auto"/>
              <w:right w:val="single" w:sz="4" w:space="0" w:color="auto"/>
            </w:tcBorders>
            <w:noWrap/>
            <w:vAlign w:val="bottom"/>
            <w:hideMark/>
          </w:tcPr>
          <w:p w14:paraId="751E2264"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0.11</w:t>
            </w:r>
          </w:p>
        </w:tc>
        <w:tc>
          <w:tcPr>
            <w:tcW w:w="860" w:type="pct"/>
            <w:tcBorders>
              <w:top w:val="nil"/>
              <w:left w:val="nil"/>
              <w:bottom w:val="single" w:sz="4" w:space="0" w:color="auto"/>
              <w:right w:val="single" w:sz="4" w:space="0" w:color="auto"/>
            </w:tcBorders>
            <w:noWrap/>
            <w:vAlign w:val="bottom"/>
            <w:hideMark/>
          </w:tcPr>
          <w:p w14:paraId="201A4381"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-0.09</w:t>
            </w:r>
          </w:p>
        </w:tc>
        <w:tc>
          <w:tcPr>
            <w:tcW w:w="698" w:type="pct"/>
            <w:tcBorders>
              <w:top w:val="nil"/>
              <w:left w:val="nil"/>
              <w:bottom w:val="single" w:sz="4" w:space="0" w:color="auto"/>
              <w:right w:val="single" w:sz="4" w:space="0" w:color="auto"/>
            </w:tcBorders>
            <w:noWrap/>
            <w:vAlign w:val="bottom"/>
            <w:hideMark/>
          </w:tcPr>
          <w:p w14:paraId="2A9C68EE" w14:textId="77777777" w:rsidR="000858D3" w:rsidRPr="00AB1182" w:rsidRDefault="000858D3"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0.13</w:t>
            </w:r>
          </w:p>
        </w:tc>
      </w:tr>
    </w:tbl>
    <w:p w14:paraId="66E457CA" w14:textId="77777777" w:rsidR="000858D3" w:rsidRPr="00AB1182" w:rsidRDefault="000858D3" w:rsidP="00305B0C">
      <w:pPr>
        <w:rPr>
          <w:rFonts w:asciiTheme="minorHAnsi" w:hAnsiTheme="minorHAnsi" w:cstheme="minorHAnsi"/>
        </w:rPr>
      </w:pPr>
    </w:p>
    <w:p w14:paraId="7595D4E2" w14:textId="160FBAC3" w:rsidR="00BA038F" w:rsidRDefault="00F12A04" w:rsidP="00305B0C">
      <w:pPr>
        <w:rPr>
          <w:rFonts w:asciiTheme="minorHAnsi" w:hAnsiTheme="minorHAnsi" w:cstheme="minorHAnsi"/>
        </w:rPr>
      </w:pPr>
      <w:r>
        <w:rPr>
          <w:rFonts w:asciiTheme="minorHAnsi" w:hAnsiTheme="minorHAnsi" w:cstheme="minorHAnsi"/>
        </w:rPr>
        <w:t xml:space="preserve">Based on the </w:t>
      </w:r>
      <w:r w:rsidR="00D84D7F">
        <w:rPr>
          <w:rFonts w:asciiTheme="minorHAnsi" w:hAnsiTheme="minorHAnsi" w:cstheme="minorHAnsi"/>
        </w:rPr>
        <w:t>calculations, we computed the following minimum variance hedge ratios and optimal number of contracts across different sample periods</w:t>
      </w:r>
      <w:r w:rsidR="007B64D5">
        <w:rPr>
          <w:rFonts w:asciiTheme="minorHAnsi" w:hAnsiTheme="minorHAnsi" w:cstheme="minorHAnsi"/>
        </w:rPr>
        <w:t xml:space="preserve">. These </w:t>
      </w:r>
      <w:r w:rsidR="00D26CBB">
        <w:rPr>
          <w:rFonts w:asciiTheme="minorHAnsi" w:hAnsiTheme="minorHAnsi" w:cstheme="minorHAnsi"/>
        </w:rPr>
        <w:t>are summarized in the table below</w:t>
      </w:r>
      <w:r w:rsidR="00D84D7F">
        <w:rPr>
          <w:rFonts w:asciiTheme="minorHAnsi" w:hAnsiTheme="minorHAnsi" w:cstheme="minorHAnsi"/>
        </w:rPr>
        <w:t>:</w:t>
      </w:r>
    </w:p>
    <w:p w14:paraId="7D9AEBD3" w14:textId="77777777" w:rsidR="000858D3" w:rsidRDefault="000858D3" w:rsidP="00305B0C">
      <w:pPr>
        <w:rPr>
          <w:rFonts w:asciiTheme="minorHAnsi" w:hAnsiTheme="minorHAnsi" w:cstheme="minorHAnsi"/>
        </w:rPr>
      </w:pPr>
    </w:p>
    <w:tbl>
      <w:tblPr>
        <w:tblW w:w="8359" w:type="dxa"/>
        <w:tblLook w:val="04A0" w:firstRow="1" w:lastRow="0" w:firstColumn="1" w:lastColumn="0" w:noHBand="0" w:noVBand="1"/>
      </w:tblPr>
      <w:tblGrid>
        <w:gridCol w:w="2163"/>
        <w:gridCol w:w="879"/>
        <w:gridCol w:w="1064"/>
        <w:gridCol w:w="1022"/>
        <w:gridCol w:w="1090"/>
        <w:gridCol w:w="1074"/>
        <w:gridCol w:w="1067"/>
      </w:tblGrid>
      <w:tr w:rsidR="00B44BE3" w:rsidRPr="00AB1182" w14:paraId="3016FE55" w14:textId="77777777" w:rsidTr="0002712F">
        <w:trPr>
          <w:trHeight w:val="260"/>
        </w:trPr>
        <w:tc>
          <w:tcPr>
            <w:tcW w:w="2163" w:type="dxa"/>
            <w:vMerge w:val="restart"/>
            <w:tcBorders>
              <w:top w:val="single" w:sz="4" w:space="0" w:color="auto"/>
              <w:left w:val="single" w:sz="4" w:space="0" w:color="auto"/>
              <w:bottom w:val="single" w:sz="4" w:space="0" w:color="auto"/>
              <w:right w:val="single" w:sz="4" w:space="0" w:color="auto"/>
            </w:tcBorders>
            <w:noWrap/>
            <w:vAlign w:val="center"/>
            <w:hideMark/>
          </w:tcPr>
          <w:p w14:paraId="54DADAD6" w14:textId="77777777" w:rsidR="00B44BE3" w:rsidRPr="00AB1182" w:rsidRDefault="00B44BE3" w:rsidP="0002712F">
            <w:pPr>
              <w:jc w:val="center"/>
              <w:rPr>
                <w:rFonts w:asciiTheme="minorHAnsi" w:hAnsiTheme="minorHAnsi" w:cstheme="minorHAnsi"/>
                <w:b/>
                <w:bCs/>
                <w:color w:val="000000"/>
                <w:sz w:val="20"/>
                <w:szCs w:val="20"/>
                <w:lang w:val="en-AU" w:eastAsia="en-AU"/>
              </w:rPr>
            </w:pPr>
            <w:r w:rsidRPr="00AB1182">
              <w:rPr>
                <w:rFonts w:asciiTheme="minorHAnsi" w:hAnsiTheme="minorHAnsi" w:cstheme="minorHAnsi"/>
                <w:b/>
                <w:bCs/>
                <w:color w:val="000000"/>
                <w:sz w:val="20"/>
                <w:szCs w:val="20"/>
              </w:rPr>
              <w:t>Scenario Analysis: Optimal Hedge ratios &amp; no. of contracts</w:t>
            </w:r>
          </w:p>
        </w:tc>
        <w:tc>
          <w:tcPr>
            <w:tcW w:w="1943" w:type="dxa"/>
            <w:gridSpan w:val="2"/>
            <w:tcBorders>
              <w:top w:val="single" w:sz="4" w:space="0" w:color="auto"/>
              <w:left w:val="nil"/>
              <w:bottom w:val="single" w:sz="4" w:space="0" w:color="auto"/>
              <w:right w:val="single" w:sz="4" w:space="0" w:color="auto"/>
            </w:tcBorders>
            <w:noWrap/>
            <w:vAlign w:val="center"/>
            <w:hideMark/>
          </w:tcPr>
          <w:p w14:paraId="6B0A31E2"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1</w:t>
            </w:r>
          </w:p>
        </w:tc>
        <w:tc>
          <w:tcPr>
            <w:tcW w:w="2112" w:type="dxa"/>
            <w:gridSpan w:val="2"/>
            <w:tcBorders>
              <w:top w:val="single" w:sz="4" w:space="0" w:color="auto"/>
              <w:left w:val="nil"/>
              <w:bottom w:val="single" w:sz="4" w:space="0" w:color="auto"/>
              <w:right w:val="single" w:sz="4" w:space="0" w:color="auto"/>
            </w:tcBorders>
            <w:noWrap/>
            <w:vAlign w:val="center"/>
            <w:hideMark/>
          </w:tcPr>
          <w:p w14:paraId="0128ABC2"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2</w:t>
            </w:r>
          </w:p>
        </w:tc>
        <w:tc>
          <w:tcPr>
            <w:tcW w:w="2141" w:type="dxa"/>
            <w:gridSpan w:val="2"/>
            <w:tcBorders>
              <w:top w:val="single" w:sz="4" w:space="0" w:color="auto"/>
              <w:left w:val="nil"/>
              <w:bottom w:val="single" w:sz="4" w:space="0" w:color="auto"/>
              <w:right w:val="single" w:sz="4" w:space="0" w:color="auto"/>
            </w:tcBorders>
            <w:noWrap/>
            <w:vAlign w:val="center"/>
            <w:hideMark/>
          </w:tcPr>
          <w:p w14:paraId="1051E04F"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3</w:t>
            </w:r>
          </w:p>
        </w:tc>
      </w:tr>
      <w:tr w:rsidR="00B44BE3" w:rsidRPr="00AB1182" w14:paraId="6506A2DC" w14:textId="77777777" w:rsidTr="0002712F">
        <w:trPr>
          <w:trHeight w:val="260"/>
        </w:trPr>
        <w:tc>
          <w:tcPr>
            <w:tcW w:w="2163" w:type="dxa"/>
            <w:vMerge/>
            <w:tcBorders>
              <w:top w:val="single" w:sz="4" w:space="0" w:color="auto"/>
              <w:left w:val="single" w:sz="4" w:space="0" w:color="auto"/>
              <w:bottom w:val="single" w:sz="4" w:space="0" w:color="auto"/>
              <w:right w:val="single" w:sz="4" w:space="0" w:color="auto"/>
            </w:tcBorders>
            <w:vAlign w:val="center"/>
            <w:hideMark/>
          </w:tcPr>
          <w:p w14:paraId="7D27DABB" w14:textId="77777777" w:rsidR="00B44BE3" w:rsidRPr="00AB1182" w:rsidRDefault="00B44BE3" w:rsidP="0002712F">
            <w:pPr>
              <w:jc w:val="center"/>
              <w:rPr>
                <w:rFonts w:asciiTheme="minorHAnsi" w:hAnsiTheme="minorHAnsi" w:cstheme="minorHAnsi"/>
                <w:b/>
                <w:bCs/>
                <w:color w:val="000000"/>
                <w:sz w:val="20"/>
                <w:szCs w:val="20"/>
              </w:rPr>
            </w:pPr>
          </w:p>
        </w:tc>
        <w:tc>
          <w:tcPr>
            <w:tcW w:w="879" w:type="dxa"/>
            <w:tcBorders>
              <w:top w:val="nil"/>
              <w:left w:val="nil"/>
              <w:bottom w:val="single" w:sz="4" w:space="0" w:color="auto"/>
              <w:right w:val="single" w:sz="4" w:space="0" w:color="auto"/>
            </w:tcBorders>
            <w:noWrap/>
            <w:vAlign w:val="center"/>
            <w:hideMark/>
          </w:tcPr>
          <w:p w14:paraId="7CFF23F0"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MHR</w:t>
            </w:r>
          </w:p>
        </w:tc>
        <w:tc>
          <w:tcPr>
            <w:tcW w:w="1064" w:type="dxa"/>
            <w:tcBorders>
              <w:top w:val="nil"/>
              <w:left w:val="nil"/>
              <w:bottom w:val="single" w:sz="4" w:space="0" w:color="auto"/>
              <w:right w:val="single" w:sz="4" w:space="0" w:color="auto"/>
            </w:tcBorders>
            <w:noWrap/>
            <w:vAlign w:val="center"/>
            <w:hideMark/>
          </w:tcPr>
          <w:p w14:paraId="6312BB47"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Contracts</w:t>
            </w:r>
          </w:p>
        </w:tc>
        <w:tc>
          <w:tcPr>
            <w:tcW w:w="1022" w:type="dxa"/>
            <w:tcBorders>
              <w:top w:val="nil"/>
              <w:left w:val="nil"/>
              <w:bottom w:val="single" w:sz="4" w:space="0" w:color="auto"/>
              <w:right w:val="single" w:sz="4" w:space="0" w:color="auto"/>
            </w:tcBorders>
            <w:noWrap/>
            <w:vAlign w:val="center"/>
            <w:hideMark/>
          </w:tcPr>
          <w:p w14:paraId="60A76DD4"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MHR</w:t>
            </w:r>
          </w:p>
        </w:tc>
        <w:tc>
          <w:tcPr>
            <w:tcW w:w="1090" w:type="dxa"/>
            <w:tcBorders>
              <w:top w:val="nil"/>
              <w:left w:val="nil"/>
              <w:bottom w:val="single" w:sz="4" w:space="0" w:color="auto"/>
              <w:right w:val="single" w:sz="4" w:space="0" w:color="auto"/>
            </w:tcBorders>
            <w:noWrap/>
            <w:vAlign w:val="center"/>
            <w:hideMark/>
          </w:tcPr>
          <w:p w14:paraId="122D5275"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Contracts</w:t>
            </w:r>
          </w:p>
        </w:tc>
        <w:tc>
          <w:tcPr>
            <w:tcW w:w="1074" w:type="dxa"/>
            <w:tcBorders>
              <w:top w:val="nil"/>
              <w:left w:val="nil"/>
              <w:bottom w:val="single" w:sz="4" w:space="0" w:color="auto"/>
              <w:right w:val="single" w:sz="4" w:space="0" w:color="auto"/>
            </w:tcBorders>
            <w:noWrap/>
            <w:vAlign w:val="center"/>
            <w:hideMark/>
          </w:tcPr>
          <w:p w14:paraId="6FC11051"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MHR</w:t>
            </w:r>
          </w:p>
        </w:tc>
        <w:tc>
          <w:tcPr>
            <w:tcW w:w="1067" w:type="dxa"/>
            <w:tcBorders>
              <w:top w:val="nil"/>
              <w:left w:val="nil"/>
              <w:bottom w:val="single" w:sz="4" w:space="0" w:color="auto"/>
              <w:right w:val="single" w:sz="4" w:space="0" w:color="auto"/>
            </w:tcBorders>
            <w:noWrap/>
            <w:vAlign w:val="center"/>
            <w:hideMark/>
          </w:tcPr>
          <w:p w14:paraId="5C9BEE02"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Contracts</w:t>
            </w:r>
          </w:p>
        </w:tc>
      </w:tr>
      <w:tr w:rsidR="00B44BE3" w:rsidRPr="00AB1182" w14:paraId="0731FAA3" w14:textId="77777777" w:rsidTr="0002712F">
        <w:trPr>
          <w:trHeight w:val="260"/>
        </w:trPr>
        <w:tc>
          <w:tcPr>
            <w:tcW w:w="2163" w:type="dxa"/>
            <w:tcBorders>
              <w:top w:val="nil"/>
              <w:left w:val="single" w:sz="4" w:space="0" w:color="auto"/>
              <w:bottom w:val="single" w:sz="4" w:space="0" w:color="auto"/>
              <w:right w:val="single" w:sz="4" w:space="0" w:color="auto"/>
            </w:tcBorders>
            <w:noWrap/>
            <w:vAlign w:val="center"/>
            <w:hideMark/>
          </w:tcPr>
          <w:p w14:paraId="4AA2AD7C"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heating Oil futures only</w:t>
            </w:r>
          </w:p>
        </w:tc>
        <w:tc>
          <w:tcPr>
            <w:tcW w:w="879" w:type="dxa"/>
            <w:tcBorders>
              <w:top w:val="nil"/>
              <w:left w:val="nil"/>
              <w:bottom w:val="single" w:sz="4" w:space="0" w:color="auto"/>
              <w:right w:val="single" w:sz="4" w:space="0" w:color="auto"/>
            </w:tcBorders>
            <w:noWrap/>
            <w:vAlign w:val="center"/>
            <w:hideMark/>
          </w:tcPr>
          <w:p w14:paraId="5DE64689"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0.9154</w:t>
            </w:r>
          </w:p>
        </w:tc>
        <w:tc>
          <w:tcPr>
            <w:tcW w:w="1064" w:type="dxa"/>
            <w:tcBorders>
              <w:top w:val="nil"/>
              <w:left w:val="nil"/>
              <w:bottom w:val="single" w:sz="4" w:space="0" w:color="auto"/>
              <w:right w:val="single" w:sz="4" w:space="0" w:color="auto"/>
            </w:tcBorders>
            <w:noWrap/>
            <w:vAlign w:val="center"/>
            <w:hideMark/>
          </w:tcPr>
          <w:p w14:paraId="662CE376"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436</w:t>
            </w:r>
          </w:p>
        </w:tc>
        <w:tc>
          <w:tcPr>
            <w:tcW w:w="1022" w:type="dxa"/>
            <w:tcBorders>
              <w:top w:val="nil"/>
              <w:left w:val="nil"/>
              <w:bottom w:val="single" w:sz="4" w:space="0" w:color="auto"/>
              <w:right w:val="single" w:sz="4" w:space="0" w:color="auto"/>
            </w:tcBorders>
            <w:noWrap/>
            <w:vAlign w:val="center"/>
            <w:hideMark/>
          </w:tcPr>
          <w:p w14:paraId="631F2312"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0.8727</w:t>
            </w:r>
          </w:p>
        </w:tc>
        <w:tc>
          <w:tcPr>
            <w:tcW w:w="1090" w:type="dxa"/>
            <w:tcBorders>
              <w:top w:val="nil"/>
              <w:left w:val="nil"/>
              <w:bottom w:val="single" w:sz="4" w:space="0" w:color="auto"/>
              <w:right w:val="single" w:sz="4" w:space="0" w:color="auto"/>
            </w:tcBorders>
            <w:noWrap/>
            <w:vAlign w:val="center"/>
            <w:hideMark/>
          </w:tcPr>
          <w:p w14:paraId="3C915762"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416</w:t>
            </w:r>
          </w:p>
        </w:tc>
        <w:tc>
          <w:tcPr>
            <w:tcW w:w="1074" w:type="dxa"/>
            <w:tcBorders>
              <w:top w:val="nil"/>
              <w:left w:val="nil"/>
              <w:bottom w:val="single" w:sz="4" w:space="0" w:color="auto"/>
              <w:right w:val="single" w:sz="4" w:space="0" w:color="auto"/>
            </w:tcBorders>
            <w:noWrap/>
            <w:vAlign w:val="center"/>
            <w:hideMark/>
          </w:tcPr>
          <w:p w14:paraId="2ED22F62"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1.0772</w:t>
            </w:r>
          </w:p>
        </w:tc>
        <w:tc>
          <w:tcPr>
            <w:tcW w:w="1067" w:type="dxa"/>
            <w:tcBorders>
              <w:top w:val="nil"/>
              <w:left w:val="nil"/>
              <w:bottom w:val="single" w:sz="4" w:space="0" w:color="auto"/>
              <w:right w:val="single" w:sz="4" w:space="0" w:color="auto"/>
            </w:tcBorders>
            <w:noWrap/>
            <w:vAlign w:val="center"/>
            <w:hideMark/>
          </w:tcPr>
          <w:p w14:paraId="507081D7"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513</w:t>
            </w:r>
          </w:p>
        </w:tc>
      </w:tr>
      <w:tr w:rsidR="00B44BE3" w:rsidRPr="00AB1182" w14:paraId="4ECC4315" w14:textId="77777777" w:rsidTr="0002712F">
        <w:trPr>
          <w:trHeight w:val="260"/>
        </w:trPr>
        <w:tc>
          <w:tcPr>
            <w:tcW w:w="2163" w:type="dxa"/>
            <w:tcBorders>
              <w:top w:val="nil"/>
              <w:left w:val="single" w:sz="4" w:space="0" w:color="auto"/>
              <w:bottom w:val="single" w:sz="4" w:space="0" w:color="auto"/>
              <w:right w:val="single" w:sz="4" w:space="0" w:color="auto"/>
            </w:tcBorders>
            <w:noWrap/>
            <w:vAlign w:val="center"/>
            <w:hideMark/>
          </w:tcPr>
          <w:p w14:paraId="2368F76A"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crude Oil Futures only</w:t>
            </w:r>
          </w:p>
        </w:tc>
        <w:tc>
          <w:tcPr>
            <w:tcW w:w="879" w:type="dxa"/>
            <w:tcBorders>
              <w:top w:val="nil"/>
              <w:left w:val="nil"/>
              <w:bottom w:val="single" w:sz="4" w:space="0" w:color="auto"/>
              <w:right w:val="single" w:sz="4" w:space="0" w:color="auto"/>
            </w:tcBorders>
            <w:noWrap/>
            <w:vAlign w:val="center"/>
            <w:hideMark/>
          </w:tcPr>
          <w:p w14:paraId="0CE859D4"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0.0007</w:t>
            </w:r>
          </w:p>
        </w:tc>
        <w:tc>
          <w:tcPr>
            <w:tcW w:w="1064" w:type="dxa"/>
            <w:tcBorders>
              <w:top w:val="nil"/>
              <w:left w:val="nil"/>
              <w:bottom w:val="single" w:sz="4" w:space="0" w:color="auto"/>
              <w:right w:val="single" w:sz="4" w:space="0" w:color="auto"/>
            </w:tcBorders>
            <w:noWrap/>
            <w:vAlign w:val="center"/>
            <w:hideMark/>
          </w:tcPr>
          <w:p w14:paraId="48CAD5F5"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w:t>
            </w:r>
          </w:p>
        </w:tc>
        <w:tc>
          <w:tcPr>
            <w:tcW w:w="1022" w:type="dxa"/>
            <w:tcBorders>
              <w:top w:val="nil"/>
              <w:left w:val="nil"/>
              <w:bottom w:val="single" w:sz="4" w:space="0" w:color="auto"/>
              <w:right w:val="single" w:sz="4" w:space="0" w:color="auto"/>
            </w:tcBorders>
            <w:noWrap/>
            <w:vAlign w:val="center"/>
            <w:hideMark/>
          </w:tcPr>
          <w:p w14:paraId="287EFDD5"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-0.0041</w:t>
            </w:r>
          </w:p>
        </w:tc>
        <w:tc>
          <w:tcPr>
            <w:tcW w:w="1090" w:type="dxa"/>
            <w:tcBorders>
              <w:top w:val="nil"/>
              <w:left w:val="nil"/>
              <w:bottom w:val="single" w:sz="4" w:space="0" w:color="auto"/>
              <w:right w:val="single" w:sz="4" w:space="0" w:color="auto"/>
            </w:tcBorders>
            <w:noWrap/>
            <w:vAlign w:val="center"/>
            <w:hideMark/>
          </w:tcPr>
          <w:p w14:paraId="2ADCA873"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-2</w:t>
            </w:r>
          </w:p>
        </w:tc>
        <w:tc>
          <w:tcPr>
            <w:tcW w:w="1074" w:type="dxa"/>
            <w:tcBorders>
              <w:top w:val="nil"/>
              <w:left w:val="nil"/>
              <w:bottom w:val="single" w:sz="4" w:space="0" w:color="auto"/>
              <w:right w:val="single" w:sz="4" w:space="0" w:color="auto"/>
            </w:tcBorders>
            <w:noWrap/>
            <w:vAlign w:val="center"/>
            <w:hideMark/>
          </w:tcPr>
          <w:p w14:paraId="6E3715F9"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0.0077</w:t>
            </w:r>
          </w:p>
        </w:tc>
        <w:tc>
          <w:tcPr>
            <w:tcW w:w="1067" w:type="dxa"/>
            <w:tcBorders>
              <w:top w:val="nil"/>
              <w:left w:val="nil"/>
              <w:bottom w:val="single" w:sz="4" w:space="0" w:color="auto"/>
              <w:right w:val="single" w:sz="4" w:space="0" w:color="auto"/>
            </w:tcBorders>
            <w:noWrap/>
            <w:vAlign w:val="center"/>
            <w:hideMark/>
          </w:tcPr>
          <w:p w14:paraId="5252D543"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4</w:t>
            </w:r>
          </w:p>
        </w:tc>
      </w:tr>
      <w:tr w:rsidR="00B44BE3" w:rsidRPr="00AB1182" w14:paraId="2842C7F3" w14:textId="77777777" w:rsidTr="0002712F">
        <w:trPr>
          <w:trHeight w:val="260"/>
        </w:trPr>
        <w:tc>
          <w:tcPr>
            <w:tcW w:w="2163" w:type="dxa"/>
            <w:tcBorders>
              <w:top w:val="nil"/>
              <w:left w:val="single" w:sz="4" w:space="0" w:color="auto"/>
              <w:bottom w:val="single" w:sz="4" w:space="0" w:color="auto"/>
              <w:right w:val="single" w:sz="4" w:space="0" w:color="auto"/>
            </w:tcBorders>
            <w:noWrap/>
            <w:vAlign w:val="center"/>
            <w:hideMark/>
          </w:tcPr>
          <w:p w14:paraId="0D364B02"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 xml:space="preserve">Hedging with Heating Oil </w:t>
            </w:r>
            <w:proofErr w:type="gramStart"/>
            <w:r w:rsidRPr="00AB1182">
              <w:rPr>
                <w:rFonts w:asciiTheme="minorHAnsi" w:hAnsiTheme="minorHAnsi" w:cstheme="minorHAnsi"/>
                <w:b/>
                <w:bCs/>
                <w:color w:val="000000"/>
                <w:sz w:val="20"/>
                <w:szCs w:val="20"/>
              </w:rPr>
              <w:t>futures</w:t>
            </w:r>
            <w:proofErr w:type="gramEnd"/>
            <w:r w:rsidRPr="00AB1182">
              <w:rPr>
                <w:rFonts w:asciiTheme="minorHAnsi" w:hAnsiTheme="minorHAnsi" w:cstheme="minorHAnsi"/>
                <w:b/>
                <w:bCs/>
                <w:color w:val="000000"/>
                <w:sz w:val="20"/>
                <w:szCs w:val="20"/>
              </w:rPr>
              <w:t xml:space="preserve"> * Crude Oil Futures</w:t>
            </w:r>
          </w:p>
        </w:tc>
        <w:tc>
          <w:tcPr>
            <w:tcW w:w="879" w:type="dxa"/>
            <w:tcBorders>
              <w:top w:val="nil"/>
              <w:left w:val="nil"/>
              <w:bottom w:val="single" w:sz="4" w:space="0" w:color="auto"/>
              <w:right w:val="single" w:sz="4" w:space="0" w:color="auto"/>
            </w:tcBorders>
            <w:noWrap/>
            <w:vAlign w:val="center"/>
            <w:hideMark/>
          </w:tcPr>
          <w:p w14:paraId="76E83F0D" w14:textId="77777777" w:rsidR="00B44BE3" w:rsidRPr="00AB1182" w:rsidRDefault="00B44BE3" w:rsidP="0002712F">
            <w:pPr>
              <w:jc w:val="center"/>
              <w:rPr>
                <w:rFonts w:asciiTheme="minorHAnsi" w:hAnsiTheme="minorHAnsi" w:cstheme="minorHAnsi"/>
                <w:color w:val="4472C4"/>
                <w:sz w:val="20"/>
                <w:szCs w:val="20"/>
              </w:rPr>
            </w:pPr>
          </w:p>
        </w:tc>
        <w:tc>
          <w:tcPr>
            <w:tcW w:w="1064" w:type="dxa"/>
            <w:tcBorders>
              <w:top w:val="nil"/>
              <w:left w:val="nil"/>
              <w:bottom w:val="single" w:sz="4" w:space="0" w:color="auto"/>
              <w:right w:val="single" w:sz="4" w:space="0" w:color="auto"/>
            </w:tcBorders>
            <w:noWrap/>
            <w:vAlign w:val="center"/>
            <w:hideMark/>
          </w:tcPr>
          <w:p w14:paraId="46C7BFD2" w14:textId="77777777" w:rsidR="00B44BE3" w:rsidRPr="00AB1182" w:rsidRDefault="00B44BE3" w:rsidP="0002712F">
            <w:pPr>
              <w:jc w:val="center"/>
              <w:rPr>
                <w:rFonts w:asciiTheme="minorHAnsi" w:hAnsiTheme="minorHAnsi" w:cstheme="minorHAnsi"/>
                <w:color w:val="4472C4"/>
                <w:sz w:val="20"/>
                <w:szCs w:val="20"/>
              </w:rPr>
            </w:pPr>
          </w:p>
        </w:tc>
        <w:tc>
          <w:tcPr>
            <w:tcW w:w="1022" w:type="dxa"/>
            <w:tcBorders>
              <w:top w:val="nil"/>
              <w:left w:val="nil"/>
              <w:bottom w:val="single" w:sz="4" w:space="0" w:color="auto"/>
              <w:right w:val="single" w:sz="4" w:space="0" w:color="auto"/>
            </w:tcBorders>
            <w:noWrap/>
            <w:vAlign w:val="center"/>
            <w:hideMark/>
          </w:tcPr>
          <w:p w14:paraId="7816BCEB" w14:textId="77777777" w:rsidR="00B44BE3" w:rsidRPr="00AB1182" w:rsidRDefault="00B44BE3" w:rsidP="0002712F">
            <w:pPr>
              <w:jc w:val="center"/>
              <w:rPr>
                <w:rFonts w:asciiTheme="minorHAnsi" w:hAnsiTheme="minorHAnsi" w:cstheme="minorHAnsi"/>
                <w:color w:val="4472C4"/>
                <w:sz w:val="20"/>
                <w:szCs w:val="20"/>
              </w:rPr>
            </w:pPr>
          </w:p>
        </w:tc>
        <w:tc>
          <w:tcPr>
            <w:tcW w:w="1090" w:type="dxa"/>
            <w:tcBorders>
              <w:top w:val="nil"/>
              <w:left w:val="nil"/>
              <w:bottom w:val="single" w:sz="4" w:space="0" w:color="auto"/>
              <w:right w:val="single" w:sz="4" w:space="0" w:color="auto"/>
            </w:tcBorders>
            <w:noWrap/>
            <w:vAlign w:val="center"/>
            <w:hideMark/>
          </w:tcPr>
          <w:p w14:paraId="1B5A7736" w14:textId="77777777" w:rsidR="00B44BE3" w:rsidRPr="00AB1182" w:rsidRDefault="00B44BE3" w:rsidP="0002712F">
            <w:pPr>
              <w:jc w:val="center"/>
              <w:rPr>
                <w:rFonts w:asciiTheme="minorHAnsi" w:hAnsiTheme="minorHAnsi" w:cstheme="minorHAnsi"/>
                <w:color w:val="4472C4"/>
                <w:sz w:val="20"/>
                <w:szCs w:val="20"/>
              </w:rPr>
            </w:pPr>
          </w:p>
        </w:tc>
        <w:tc>
          <w:tcPr>
            <w:tcW w:w="1074" w:type="dxa"/>
            <w:tcBorders>
              <w:top w:val="nil"/>
              <w:left w:val="nil"/>
              <w:bottom w:val="single" w:sz="4" w:space="0" w:color="auto"/>
              <w:right w:val="single" w:sz="4" w:space="0" w:color="auto"/>
            </w:tcBorders>
            <w:noWrap/>
            <w:vAlign w:val="center"/>
            <w:hideMark/>
          </w:tcPr>
          <w:p w14:paraId="789C258F" w14:textId="77777777" w:rsidR="00B44BE3" w:rsidRPr="00AB1182" w:rsidRDefault="00B44BE3" w:rsidP="0002712F">
            <w:pPr>
              <w:jc w:val="center"/>
              <w:rPr>
                <w:rFonts w:asciiTheme="minorHAnsi" w:hAnsiTheme="minorHAnsi" w:cstheme="minorHAnsi"/>
                <w:color w:val="4472C4"/>
                <w:sz w:val="20"/>
                <w:szCs w:val="20"/>
              </w:rPr>
            </w:pPr>
          </w:p>
        </w:tc>
        <w:tc>
          <w:tcPr>
            <w:tcW w:w="1067" w:type="dxa"/>
            <w:tcBorders>
              <w:top w:val="nil"/>
              <w:left w:val="nil"/>
              <w:bottom w:val="single" w:sz="4" w:space="0" w:color="auto"/>
              <w:right w:val="single" w:sz="4" w:space="0" w:color="auto"/>
            </w:tcBorders>
            <w:noWrap/>
            <w:vAlign w:val="center"/>
            <w:hideMark/>
          </w:tcPr>
          <w:p w14:paraId="1959E214" w14:textId="77777777" w:rsidR="00B44BE3" w:rsidRPr="00AB1182" w:rsidRDefault="00B44BE3" w:rsidP="0002712F">
            <w:pPr>
              <w:jc w:val="center"/>
              <w:rPr>
                <w:rFonts w:asciiTheme="minorHAnsi" w:hAnsiTheme="minorHAnsi" w:cstheme="minorHAnsi"/>
                <w:color w:val="4472C4"/>
                <w:sz w:val="20"/>
                <w:szCs w:val="20"/>
              </w:rPr>
            </w:pPr>
          </w:p>
        </w:tc>
      </w:tr>
      <w:tr w:rsidR="00B44BE3" w:rsidRPr="00AB1182" w14:paraId="12321883" w14:textId="77777777" w:rsidTr="0002712F">
        <w:trPr>
          <w:trHeight w:val="260"/>
        </w:trPr>
        <w:tc>
          <w:tcPr>
            <w:tcW w:w="2163" w:type="dxa"/>
            <w:tcBorders>
              <w:top w:val="nil"/>
              <w:left w:val="single" w:sz="4" w:space="0" w:color="auto"/>
              <w:bottom w:val="single" w:sz="4" w:space="0" w:color="auto"/>
              <w:right w:val="single" w:sz="4" w:space="0" w:color="auto"/>
            </w:tcBorders>
            <w:noWrap/>
            <w:vAlign w:val="center"/>
            <w:hideMark/>
          </w:tcPr>
          <w:p w14:paraId="24FD6EF9"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Heating oil futures</w:t>
            </w:r>
          </w:p>
        </w:tc>
        <w:tc>
          <w:tcPr>
            <w:tcW w:w="879" w:type="dxa"/>
            <w:tcBorders>
              <w:top w:val="nil"/>
              <w:left w:val="nil"/>
              <w:bottom w:val="single" w:sz="4" w:space="0" w:color="auto"/>
              <w:right w:val="single" w:sz="4" w:space="0" w:color="auto"/>
            </w:tcBorders>
            <w:noWrap/>
            <w:vAlign w:val="center"/>
            <w:hideMark/>
          </w:tcPr>
          <w:p w14:paraId="29971B0E"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0.9133</w:t>
            </w:r>
          </w:p>
        </w:tc>
        <w:tc>
          <w:tcPr>
            <w:tcW w:w="1064" w:type="dxa"/>
            <w:tcBorders>
              <w:top w:val="nil"/>
              <w:left w:val="nil"/>
              <w:bottom w:val="single" w:sz="4" w:space="0" w:color="auto"/>
              <w:right w:val="single" w:sz="4" w:space="0" w:color="auto"/>
            </w:tcBorders>
            <w:noWrap/>
            <w:vAlign w:val="center"/>
            <w:hideMark/>
          </w:tcPr>
          <w:p w14:paraId="24F59E56"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435</w:t>
            </w:r>
          </w:p>
        </w:tc>
        <w:tc>
          <w:tcPr>
            <w:tcW w:w="1022" w:type="dxa"/>
            <w:tcBorders>
              <w:top w:val="nil"/>
              <w:left w:val="nil"/>
              <w:bottom w:val="single" w:sz="4" w:space="0" w:color="auto"/>
              <w:right w:val="single" w:sz="4" w:space="0" w:color="auto"/>
            </w:tcBorders>
            <w:noWrap/>
            <w:vAlign w:val="center"/>
            <w:hideMark/>
          </w:tcPr>
          <w:p w14:paraId="7DC81032"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0.8767</w:t>
            </w:r>
          </w:p>
        </w:tc>
        <w:tc>
          <w:tcPr>
            <w:tcW w:w="1090" w:type="dxa"/>
            <w:tcBorders>
              <w:top w:val="nil"/>
              <w:left w:val="nil"/>
              <w:bottom w:val="single" w:sz="4" w:space="0" w:color="auto"/>
              <w:right w:val="single" w:sz="4" w:space="0" w:color="auto"/>
            </w:tcBorders>
            <w:noWrap/>
            <w:vAlign w:val="center"/>
            <w:hideMark/>
          </w:tcPr>
          <w:p w14:paraId="7F224EE3"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417</w:t>
            </w:r>
          </w:p>
        </w:tc>
        <w:tc>
          <w:tcPr>
            <w:tcW w:w="1074" w:type="dxa"/>
            <w:tcBorders>
              <w:top w:val="nil"/>
              <w:left w:val="nil"/>
              <w:bottom w:val="single" w:sz="4" w:space="0" w:color="auto"/>
              <w:right w:val="single" w:sz="4" w:space="0" w:color="auto"/>
            </w:tcBorders>
            <w:noWrap/>
            <w:vAlign w:val="center"/>
            <w:hideMark/>
          </w:tcPr>
          <w:p w14:paraId="62395D10"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1.0768</w:t>
            </w:r>
          </w:p>
        </w:tc>
        <w:tc>
          <w:tcPr>
            <w:tcW w:w="1067" w:type="dxa"/>
            <w:tcBorders>
              <w:top w:val="nil"/>
              <w:left w:val="nil"/>
              <w:bottom w:val="single" w:sz="4" w:space="0" w:color="auto"/>
              <w:right w:val="single" w:sz="4" w:space="0" w:color="auto"/>
            </w:tcBorders>
            <w:noWrap/>
            <w:vAlign w:val="center"/>
            <w:hideMark/>
          </w:tcPr>
          <w:p w14:paraId="4DB41FBB"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513</w:t>
            </w:r>
          </w:p>
        </w:tc>
      </w:tr>
      <w:tr w:rsidR="00B44BE3" w:rsidRPr="00AB1182" w14:paraId="3AA99004" w14:textId="77777777" w:rsidTr="0002712F">
        <w:trPr>
          <w:trHeight w:val="260"/>
        </w:trPr>
        <w:tc>
          <w:tcPr>
            <w:tcW w:w="2163" w:type="dxa"/>
            <w:tcBorders>
              <w:top w:val="nil"/>
              <w:left w:val="single" w:sz="4" w:space="0" w:color="auto"/>
              <w:bottom w:val="single" w:sz="4" w:space="0" w:color="auto"/>
              <w:right w:val="single" w:sz="4" w:space="0" w:color="auto"/>
            </w:tcBorders>
            <w:noWrap/>
            <w:vAlign w:val="center"/>
            <w:hideMark/>
          </w:tcPr>
          <w:p w14:paraId="26E30952" w14:textId="77777777" w:rsidR="00B44BE3" w:rsidRPr="00AB1182" w:rsidRDefault="00B44BE3"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Crude oil futures</w:t>
            </w:r>
          </w:p>
        </w:tc>
        <w:tc>
          <w:tcPr>
            <w:tcW w:w="879" w:type="dxa"/>
            <w:tcBorders>
              <w:top w:val="nil"/>
              <w:left w:val="nil"/>
              <w:bottom w:val="single" w:sz="4" w:space="0" w:color="auto"/>
              <w:right w:val="single" w:sz="4" w:space="0" w:color="auto"/>
            </w:tcBorders>
            <w:noWrap/>
            <w:vAlign w:val="center"/>
            <w:hideMark/>
          </w:tcPr>
          <w:p w14:paraId="6EE95D50"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0.0001</w:t>
            </w:r>
          </w:p>
        </w:tc>
        <w:tc>
          <w:tcPr>
            <w:tcW w:w="1064" w:type="dxa"/>
            <w:tcBorders>
              <w:top w:val="nil"/>
              <w:left w:val="nil"/>
              <w:bottom w:val="single" w:sz="4" w:space="0" w:color="auto"/>
              <w:right w:val="single" w:sz="4" w:space="0" w:color="auto"/>
            </w:tcBorders>
            <w:noWrap/>
            <w:vAlign w:val="center"/>
            <w:hideMark/>
          </w:tcPr>
          <w:p w14:paraId="09ADADB1"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w:t>
            </w:r>
          </w:p>
        </w:tc>
        <w:tc>
          <w:tcPr>
            <w:tcW w:w="1022" w:type="dxa"/>
            <w:tcBorders>
              <w:top w:val="nil"/>
              <w:left w:val="nil"/>
              <w:bottom w:val="single" w:sz="4" w:space="0" w:color="auto"/>
              <w:right w:val="single" w:sz="4" w:space="0" w:color="auto"/>
            </w:tcBorders>
            <w:noWrap/>
            <w:vAlign w:val="center"/>
            <w:hideMark/>
          </w:tcPr>
          <w:p w14:paraId="66ED1ADE"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-0.0054</w:t>
            </w:r>
          </w:p>
        </w:tc>
        <w:tc>
          <w:tcPr>
            <w:tcW w:w="1090" w:type="dxa"/>
            <w:tcBorders>
              <w:top w:val="nil"/>
              <w:left w:val="nil"/>
              <w:bottom w:val="single" w:sz="4" w:space="0" w:color="auto"/>
              <w:right w:val="single" w:sz="4" w:space="0" w:color="auto"/>
            </w:tcBorders>
            <w:noWrap/>
            <w:vAlign w:val="center"/>
            <w:hideMark/>
          </w:tcPr>
          <w:p w14:paraId="312CA000"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-3</w:t>
            </w:r>
          </w:p>
        </w:tc>
        <w:tc>
          <w:tcPr>
            <w:tcW w:w="1074" w:type="dxa"/>
            <w:tcBorders>
              <w:top w:val="nil"/>
              <w:left w:val="nil"/>
              <w:bottom w:val="single" w:sz="4" w:space="0" w:color="auto"/>
              <w:right w:val="single" w:sz="4" w:space="0" w:color="auto"/>
            </w:tcBorders>
            <w:noWrap/>
            <w:vAlign w:val="center"/>
            <w:hideMark/>
          </w:tcPr>
          <w:p w14:paraId="1802E250"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0.0001</w:t>
            </w:r>
          </w:p>
        </w:tc>
        <w:tc>
          <w:tcPr>
            <w:tcW w:w="1067" w:type="dxa"/>
            <w:tcBorders>
              <w:top w:val="nil"/>
              <w:left w:val="nil"/>
              <w:bottom w:val="single" w:sz="4" w:space="0" w:color="auto"/>
              <w:right w:val="single" w:sz="4" w:space="0" w:color="auto"/>
            </w:tcBorders>
            <w:noWrap/>
            <w:vAlign w:val="center"/>
            <w:hideMark/>
          </w:tcPr>
          <w:p w14:paraId="41B0E763" w14:textId="77777777" w:rsidR="00B44BE3" w:rsidRPr="00AB1182" w:rsidRDefault="00B44BE3" w:rsidP="0002712F">
            <w:pPr>
              <w:jc w:val="center"/>
              <w:rPr>
                <w:rFonts w:asciiTheme="minorHAnsi" w:hAnsiTheme="minorHAnsi" w:cstheme="minorHAnsi"/>
                <w:color w:val="4472C4"/>
                <w:sz w:val="20"/>
                <w:szCs w:val="20"/>
              </w:rPr>
            </w:pPr>
            <w:r w:rsidRPr="00AB1182">
              <w:rPr>
                <w:rFonts w:asciiTheme="minorHAnsi" w:hAnsiTheme="minorHAnsi" w:cstheme="minorHAnsi"/>
                <w:color w:val="4472C4"/>
                <w:sz w:val="20"/>
                <w:szCs w:val="20"/>
              </w:rPr>
              <w:t>0</w:t>
            </w:r>
          </w:p>
        </w:tc>
      </w:tr>
    </w:tbl>
    <w:p w14:paraId="3CEE0135" w14:textId="77777777" w:rsidR="00BA038F" w:rsidRDefault="00BA038F" w:rsidP="00305B0C">
      <w:pPr>
        <w:rPr>
          <w:rFonts w:asciiTheme="minorHAnsi" w:hAnsiTheme="minorHAnsi" w:cstheme="minorHAnsi"/>
        </w:rPr>
      </w:pPr>
    </w:p>
    <w:p w14:paraId="7BE45F2A" w14:textId="45FF0757" w:rsidR="00AD1C6D" w:rsidRPr="00CE078A" w:rsidRDefault="004D6820" w:rsidP="00CE078A">
      <w:pPr>
        <w:rPr>
          <w:rFonts w:asciiTheme="minorHAnsi" w:hAnsiTheme="minorHAnsi" w:cstheme="minorHAnsi"/>
        </w:rPr>
      </w:pPr>
      <w:r>
        <w:rPr>
          <w:rFonts w:asciiTheme="minorHAnsi" w:hAnsiTheme="minorHAnsi" w:cstheme="minorHAnsi"/>
        </w:rPr>
        <w:t xml:space="preserve">A notable observation to make here is that, across all </w:t>
      </w:r>
      <w:r w:rsidR="009650AA">
        <w:rPr>
          <w:rFonts w:asciiTheme="minorHAnsi" w:hAnsiTheme="minorHAnsi" w:cstheme="minorHAnsi"/>
        </w:rPr>
        <w:t xml:space="preserve">time periods, </w:t>
      </w:r>
      <w:r w:rsidR="003B350D">
        <w:rPr>
          <w:rFonts w:asciiTheme="minorHAnsi" w:hAnsiTheme="minorHAnsi" w:cstheme="minorHAnsi"/>
        </w:rPr>
        <w:t xml:space="preserve">the </w:t>
      </w:r>
      <w:r w:rsidR="005C77B3">
        <w:rPr>
          <w:rFonts w:asciiTheme="minorHAnsi" w:hAnsiTheme="minorHAnsi" w:cstheme="minorHAnsi"/>
        </w:rPr>
        <w:t>minimum</w:t>
      </w:r>
      <w:r w:rsidR="003B350D">
        <w:rPr>
          <w:rFonts w:asciiTheme="minorHAnsi" w:hAnsiTheme="minorHAnsi" w:cstheme="minorHAnsi"/>
        </w:rPr>
        <w:t xml:space="preserve"> hedge ratio and the </w:t>
      </w:r>
      <w:r w:rsidR="009650AA">
        <w:rPr>
          <w:rFonts w:asciiTheme="minorHAnsi" w:hAnsiTheme="minorHAnsi" w:cstheme="minorHAnsi"/>
        </w:rPr>
        <w:t xml:space="preserve">optimal </w:t>
      </w:r>
      <w:r w:rsidR="00B55124">
        <w:rPr>
          <w:rFonts w:asciiTheme="minorHAnsi" w:hAnsiTheme="minorHAnsi" w:cstheme="minorHAnsi"/>
        </w:rPr>
        <w:t xml:space="preserve">number of </w:t>
      </w:r>
      <w:r w:rsidR="009650AA">
        <w:rPr>
          <w:rFonts w:asciiTheme="minorHAnsi" w:hAnsiTheme="minorHAnsi" w:cstheme="minorHAnsi"/>
        </w:rPr>
        <w:t>contracts for crude oil have</w:t>
      </w:r>
      <w:r w:rsidR="00C50290">
        <w:rPr>
          <w:rFonts w:asciiTheme="minorHAnsi" w:hAnsiTheme="minorHAnsi" w:cstheme="minorHAnsi"/>
        </w:rPr>
        <w:t xml:space="preserve"> been </w:t>
      </w:r>
      <w:r w:rsidR="00D07FAC">
        <w:rPr>
          <w:rFonts w:asciiTheme="minorHAnsi" w:hAnsiTheme="minorHAnsi" w:cstheme="minorHAnsi"/>
        </w:rPr>
        <w:t>consistently</w:t>
      </w:r>
      <w:r w:rsidR="00C50290">
        <w:rPr>
          <w:rFonts w:asciiTheme="minorHAnsi" w:hAnsiTheme="minorHAnsi" w:cstheme="minorHAnsi"/>
        </w:rPr>
        <w:t xml:space="preserve"> </w:t>
      </w:r>
      <w:r w:rsidR="009650AA">
        <w:rPr>
          <w:rFonts w:asciiTheme="minorHAnsi" w:hAnsiTheme="minorHAnsi" w:cstheme="minorHAnsi"/>
        </w:rPr>
        <w:t xml:space="preserve">very low </w:t>
      </w:r>
      <w:r w:rsidR="00C50290">
        <w:rPr>
          <w:rFonts w:asciiTheme="minorHAnsi" w:hAnsiTheme="minorHAnsi" w:cstheme="minorHAnsi"/>
        </w:rPr>
        <w:t>across all in</w:t>
      </w:r>
      <w:r w:rsidR="003B350D">
        <w:rPr>
          <w:rFonts w:asciiTheme="minorHAnsi" w:hAnsiTheme="minorHAnsi" w:cstheme="minorHAnsi"/>
        </w:rPr>
        <w:t>-</w:t>
      </w:r>
      <w:r w:rsidR="00C50290">
        <w:rPr>
          <w:rFonts w:asciiTheme="minorHAnsi" w:hAnsiTheme="minorHAnsi" w:cstheme="minorHAnsi"/>
        </w:rPr>
        <w:t xml:space="preserve">sample periods. </w:t>
      </w:r>
      <w:proofErr w:type="spellStart"/>
      <w:r w:rsidR="003B350D">
        <w:rPr>
          <w:rFonts w:asciiTheme="minorHAnsi" w:hAnsiTheme="minorHAnsi" w:cstheme="minorHAnsi"/>
        </w:rPr>
        <w:t>In</w:t>
      </w:r>
      <w:r w:rsidR="00D07FAC">
        <w:rPr>
          <w:rFonts w:asciiTheme="minorHAnsi" w:hAnsiTheme="minorHAnsi" w:cstheme="minorHAnsi"/>
        </w:rPr>
        <w:t>fact</w:t>
      </w:r>
      <w:proofErr w:type="spellEnd"/>
      <w:r w:rsidR="00D07FAC">
        <w:rPr>
          <w:rFonts w:asciiTheme="minorHAnsi" w:hAnsiTheme="minorHAnsi" w:cstheme="minorHAnsi"/>
        </w:rPr>
        <w:t xml:space="preserve"> in</w:t>
      </w:r>
      <w:r w:rsidR="003B350D">
        <w:rPr>
          <w:rFonts w:asciiTheme="minorHAnsi" w:hAnsiTheme="minorHAnsi" w:cstheme="minorHAnsi"/>
        </w:rPr>
        <w:t xml:space="preserve"> in-sample</w:t>
      </w:r>
      <w:r w:rsidR="00D07FAC">
        <w:rPr>
          <w:rFonts w:asciiTheme="minorHAnsi" w:hAnsiTheme="minorHAnsi" w:cstheme="minorHAnsi"/>
        </w:rPr>
        <w:t xml:space="preserve"> 2</w:t>
      </w:r>
      <w:r w:rsidR="003B350D">
        <w:rPr>
          <w:rFonts w:asciiTheme="minorHAnsi" w:hAnsiTheme="minorHAnsi" w:cstheme="minorHAnsi"/>
        </w:rPr>
        <w:t xml:space="preserve">, these values also come out to be negative. </w:t>
      </w:r>
      <w:r w:rsidR="00C444BF" w:rsidRPr="00AB1182">
        <w:rPr>
          <w:rFonts w:asciiTheme="minorHAnsi" w:hAnsiTheme="minorHAnsi" w:cstheme="minorHAnsi"/>
        </w:rPr>
        <w:t xml:space="preserve">To determine the </w:t>
      </w:r>
      <w:r w:rsidR="00AD1C6D" w:rsidRPr="00AB1182">
        <w:rPr>
          <w:rFonts w:asciiTheme="minorHAnsi" w:hAnsiTheme="minorHAnsi" w:cstheme="minorHAnsi"/>
        </w:rPr>
        <w:t xml:space="preserve">best strategy for hedging, we </w:t>
      </w:r>
      <w:r w:rsidR="00F921AF">
        <w:rPr>
          <w:rFonts w:asciiTheme="minorHAnsi" w:hAnsiTheme="minorHAnsi" w:cstheme="minorHAnsi"/>
        </w:rPr>
        <w:t xml:space="preserve">assessed </w:t>
      </w:r>
      <w:r w:rsidR="001E340A">
        <w:rPr>
          <w:rFonts w:asciiTheme="minorHAnsi" w:hAnsiTheme="minorHAnsi" w:cstheme="minorHAnsi"/>
        </w:rPr>
        <w:t xml:space="preserve">the </w:t>
      </w:r>
      <w:r w:rsidR="00E84E86">
        <w:rPr>
          <w:rFonts w:asciiTheme="minorHAnsi" w:hAnsiTheme="minorHAnsi" w:cstheme="minorHAnsi"/>
        </w:rPr>
        <w:t xml:space="preserve">reduction in </w:t>
      </w:r>
      <w:r w:rsidR="00F921AF">
        <w:rPr>
          <w:rFonts w:asciiTheme="minorHAnsi" w:hAnsiTheme="minorHAnsi" w:cstheme="minorHAnsi"/>
        </w:rPr>
        <w:t>risk</w:t>
      </w:r>
      <w:r w:rsidR="0030768E">
        <w:rPr>
          <w:rFonts w:asciiTheme="minorHAnsi" w:hAnsiTheme="minorHAnsi" w:cstheme="minorHAnsi"/>
        </w:rPr>
        <w:t xml:space="preserve"> or Standard Deviation</w:t>
      </w:r>
      <w:r w:rsidR="00CD0013" w:rsidRPr="001E340A">
        <w:rPr>
          <w:rFonts w:asciiTheme="minorHAnsi" w:hAnsiTheme="minorHAnsi" w:cstheme="minorHAnsi"/>
        </w:rPr>
        <w:t xml:space="preserve"> </w:t>
      </w:r>
      <w:r w:rsidR="00E84E86">
        <w:rPr>
          <w:rFonts w:asciiTheme="minorHAnsi" w:hAnsiTheme="minorHAnsi" w:cstheme="minorHAnsi"/>
        </w:rPr>
        <w:t>between</w:t>
      </w:r>
      <w:r w:rsidR="00CD0013" w:rsidRPr="001E340A">
        <w:rPr>
          <w:rFonts w:asciiTheme="minorHAnsi" w:hAnsiTheme="minorHAnsi" w:cstheme="minorHAnsi"/>
        </w:rPr>
        <w:t xml:space="preserve"> hedge</w:t>
      </w:r>
      <w:r w:rsidR="001C4318" w:rsidRPr="001E340A">
        <w:rPr>
          <w:rFonts w:asciiTheme="minorHAnsi" w:hAnsiTheme="minorHAnsi" w:cstheme="minorHAnsi"/>
        </w:rPr>
        <w:t>d</w:t>
      </w:r>
      <w:r w:rsidR="00CD0013" w:rsidRPr="001E340A">
        <w:rPr>
          <w:rFonts w:asciiTheme="minorHAnsi" w:hAnsiTheme="minorHAnsi" w:cstheme="minorHAnsi"/>
        </w:rPr>
        <w:t xml:space="preserve"> </w:t>
      </w:r>
      <w:r w:rsidR="00E84E86">
        <w:rPr>
          <w:rFonts w:asciiTheme="minorHAnsi" w:hAnsiTheme="minorHAnsi" w:cstheme="minorHAnsi"/>
        </w:rPr>
        <w:t xml:space="preserve">and </w:t>
      </w:r>
      <w:r w:rsidR="00CD0013" w:rsidRPr="001E340A">
        <w:rPr>
          <w:rFonts w:asciiTheme="minorHAnsi" w:hAnsiTheme="minorHAnsi" w:cstheme="minorHAnsi"/>
        </w:rPr>
        <w:t>unhedged position</w:t>
      </w:r>
      <w:r w:rsidR="00ED3455">
        <w:rPr>
          <w:rFonts w:asciiTheme="minorHAnsi" w:hAnsiTheme="minorHAnsi" w:cstheme="minorHAnsi"/>
        </w:rPr>
        <w:t>s</w:t>
      </w:r>
      <w:r w:rsidR="00DA6E70">
        <w:rPr>
          <w:rFonts w:asciiTheme="minorHAnsi" w:hAnsiTheme="minorHAnsi" w:cstheme="minorHAnsi"/>
        </w:rPr>
        <w:t xml:space="preserve">, which </w:t>
      </w:r>
      <w:r w:rsidR="009B689F">
        <w:rPr>
          <w:rFonts w:asciiTheme="minorHAnsi" w:hAnsiTheme="minorHAnsi" w:cstheme="minorHAnsi"/>
        </w:rPr>
        <w:t xml:space="preserve">as we know would be the lowest for </w:t>
      </w:r>
      <w:r w:rsidR="000271CB">
        <w:rPr>
          <w:rFonts w:asciiTheme="minorHAnsi" w:hAnsiTheme="minorHAnsi" w:cstheme="minorHAnsi"/>
        </w:rPr>
        <w:t>the optimal number of contracts</w:t>
      </w:r>
      <w:r w:rsidR="001E340A">
        <w:rPr>
          <w:rFonts w:asciiTheme="minorHAnsi" w:hAnsiTheme="minorHAnsi" w:cstheme="minorHAnsi"/>
        </w:rPr>
        <w:t xml:space="preserve">. </w:t>
      </w:r>
      <w:r w:rsidR="007D3D67">
        <w:rPr>
          <w:rFonts w:asciiTheme="minorHAnsi" w:hAnsiTheme="minorHAnsi" w:cstheme="minorHAnsi"/>
        </w:rPr>
        <w:t xml:space="preserve">To </w:t>
      </w:r>
      <w:r w:rsidR="00592874">
        <w:rPr>
          <w:rFonts w:asciiTheme="minorHAnsi" w:hAnsiTheme="minorHAnsi" w:cstheme="minorHAnsi"/>
        </w:rPr>
        <w:t>evaluate</w:t>
      </w:r>
      <w:r w:rsidR="007D3D67">
        <w:rPr>
          <w:rFonts w:asciiTheme="minorHAnsi" w:hAnsiTheme="minorHAnsi" w:cstheme="minorHAnsi"/>
        </w:rPr>
        <w:t xml:space="preserve"> the effectiveness of the hedge for forecasting purposes, we </w:t>
      </w:r>
      <w:r w:rsidR="00BE4373">
        <w:rPr>
          <w:rFonts w:asciiTheme="minorHAnsi" w:hAnsiTheme="minorHAnsi" w:cstheme="minorHAnsi"/>
        </w:rPr>
        <w:t>applied t</w:t>
      </w:r>
      <w:r w:rsidR="00592874">
        <w:rPr>
          <w:rFonts w:asciiTheme="minorHAnsi" w:hAnsiTheme="minorHAnsi" w:cstheme="minorHAnsi"/>
        </w:rPr>
        <w:t xml:space="preserve">he optimal number of contracts to </w:t>
      </w:r>
      <w:r w:rsidR="00BE4373">
        <w:rPr>
          <w:rFonts w:asciiTheme="minorHAnsi" w:hAnsiTheme="minorHAnsi" w:cstheme="minorHAnsi"/>
        </w:rPr>
        <w:t>out-of-sample data</w:t>
      </w:r>
      <w:r w:rsidR="00B00C01">
        <w:rPr>
          <w:rFonts w:asciiTheme="minorHAnsi" w:hAnsiTheme="minorHAnsi" w:cstheme="minorHAnsi"/>
        </w:rPr>
        <w:t>sets</w:t>
      </w:r>
      <w:r w:rsidR="001E340A">
        <w:rPr>
          <w:rFonts w:asciiTheme="minorHAnsi" w:hAnsiTheme="minorHAnsi" w:cstheme="minorHAnsi"/>
        </w:rPr>
        <w:t>.</w:t>
      </w:r>
      <w:r w:rsidR="00F921AF">
        <w:rPr>
          <w:rFonts w:asciiTheme="minorHAnsi" w:hAnsiTheme="minorHAnsi" w:cstheme="minorHAnsi"/>
        </w:rPr>
        <w:t xml:space="preserve"> </w:t>
      </w:r>
      <w:r w:rsidR="00B00C01">
        <w:rPr>
          <w:rFonts w:asciiTheme="minorHAnsi" w:hAnsiTheme="minorHAnsi" w:cstheme="minorHAnsi"/>
        </w:rPr>
        <w:t xml:space="preserve">Each in-sample data had a separate out-of-sample dataset. </w:t>
      </w:r>
      <w:r w:rsidR="00F921AF">
        <w:rPr>
          <w:rFonts w:asciiTheme="minorHAnsi" w:hAnsiTheme="minorHAnsi" w:cstheme="minorHAnsi"/>
        </w:rPr>
        <w:t xml:space="preserve">We also looked at hedge effectiveness which </w:t>
      </w:r>
      <w:r w:rsidR="00A67EAC">
        <w:rPr>
          <w:rFonts w:asciiTheme="minorHAnsi" w:hAnsiTheme="minorHAnsi" w:cstheme="minorHAnsi"/>
        </w:rPr>
        <w:t>indicated the percentage of</w:t>
      </w:r>
      <w:r w:rsidR="00B033BB">
        <w:rPr>
          <w:rFonts w:asciiTheme="minorHAnsi" w:hAnsiTheme="minorHAnsi" w:cstheme="minorHAnsi"/>
        </w:rPr>
        <w:t xml:space="preserve"> variance </w:t>
      </w:r>
      <w:r w:rsidR="002546D0">
        <w:rPr>
          <w:rFonts w:asciiTheme="minorHAnsi" w:hAnsiTheme="minorHAnsi" w:cstheme="minorHAnsi"/>
        </w:rPr>
        <w:t>removed by hedging.</w:t>
      </w:r>
      <w:r w:rsidR="00CE078A">
        <w:rPr>
          <w:rFonts w:asciiTheme="minorHAnsi" w:hAnsiTheme="minorHAnsi" w:cstheme="minorHAnsi"/>
        </w:rPr>
        <w:t xml:space="preserve"> The tables below summarize the results.</w:t>
      </w:r>
    </w:p>
    <w:tbl>
      <w:tblPr>
        <w:tblW w:w="5000" w:type="pct"/>
        <w:tblLook w:val="04A0" w:firstRow="1" w:lastRow="0" w:firstColumn="1" w:lastColumn="0" w:noHBand="0" w:noVBand="1"/>
      </w:tblPr>
      <w:tblGrid>
        <w:gridCol w:w="2283"/>
        <w:gridCol w:w="892"/>
        <w:gridCol w:w="1114"/>
        <w:gridCol w:w="891"/>
        <w:gridCol w:w="1114"/>
        <w:gridCol w:w="891"/>
        <w:gridCol w:w="1114"/>
      </w:tblGrid>
      <w:tr w:rsidR="005F2579" w:rsidRPr="00AB1182" w14:paraId="2ACE8B8D" w14:textId="77777777" w:rsidTr="0002712F">
        <w:trPr>
          <w:trHeight w:val="260"/>
        </w:trPr>
        <w:tc>
          <w:tcPr>
            <w:tcW w:w="1666" w:type="pct"/>
            <w:vMerge w:val="restart"/>
            <w:tcBorders>
              <w:top w:val="single" w:sz="4" w:space="0" w:color="auto"/>
              <w:left w:val="single" w:sz="4" w:space="0" w:color="auto"/>
              <w:bottom w:val="single" w:sz="4" w:space="0" w:color="auto"/>
              <w:right w:val="single" w:sz="4" w:space="0" w:color="auto"/>
            </w:tcBorders>
            <w:noWrap/>
            <w:vAlign w:val="bottom"/>
            <w:hideMark/>
          </w:tcPr>
          <w:p w14:paraId="359B38E4" w14:textId="77777777" w:rsidR="005F2579" w:rsidRPr="00AB1182" w:rsidRDefault="005F2579" w:rsidP="0002712F">
            <w:pPr>
              <w:jc w:val="center"/>
              <w:rPr>
                <w:rFonts w:asciiTheme="minorHAnsi" w:hAnsiTheme="minorHAnsi" w:cstheme="minorHAnsi"/>
                <w:b/>
                <w:bCs/>
                <w:color w:val="000000"/>
                <w:sz w:val="20"/>
                <w:szCs w:val="20"/>
                <w:lang w:val="en-AU" w:eastAsia="en-AU"/>
              </w:rPr>
            </w:pPr>
            <w:r w:rsidRPr="00AB1182">
              <w:rPr>
                <w:rFonts w:asciiTheme="minorHAnsi" w:hAnsiTheme="minorHAnsi" w:cstheme="minorHAnsi"/>
                <w:b/>
                <w:bCs/>
                <w:color w:val="000000"/>
                <w:sz w:val="20"/>
                <w:szCs w:val="20"/>
              </w:rPr>
              <w:t>Scenario Analysis: reduction in risk (in %)</w:t>
            </w:r>
          </w:p>
        </w:tc>
        <w:tc>
          <w:tcPr>
            <w:tcW w:w="1122" w:type="pct"/>
            <w:gridSpan w:val="2"/>
            <w:tcBorders>
              <w:top w:val="single" w:sz="4" w:space="0" w:color="auto"/>
              <w:left w:val="nil"/>
              <w:bottom w:val="single" w:sz="4" w:space="0" w:color="auto"/>
              <w:right w:val="single" w:sz="4" w:space="0" w:color="auto"/>
            </w:tcBorders>
            <w:noWrap/>
            <w:vAlign w:val="bottom"/>
            <w:hideMark/>
          </w:tcPr>
          <w:p w14:paraId="1EE24E0F" w14:textId="77777777" w:rsidR="005F2579" w:rsidRPr="00AB1182" w:rsidRDefault="005F2579"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1</w:t>
            </w:r>
          </w:p>
        </w:tc>
        <w:tc>
          <w:tcPr>
            <w:tcW w:w="1106" w:type="pct"/>
            <w:gridSpan w:val="2"/>
            <w:tcBorders>
              <w:top w:val="single" w:sz="4" w:space="0" w:color="auto"/>
              <w:left w:val="nil"/>
              <w:bottom w:val="single" w:sz="4" w:space="0" w:color="auto"/>
              <w:right w:val="single" w:sz="4" w:space="0" w:color="auto"/>
            </w:tcBorders>
            <w:noWrap/>
            <w:vAlign w:val="bottom"/>
            <w:hideMark/>
          </w:tcPr>
          <w:p w14:paraId="6AD95702" w14:textId="77777777" w:rsidR="005F2579" w:rsidRPr="00AB1182" w:rsidRDefault="005F2579"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2</w:t>
            </w:r>
          </w:p>
        </w:tc>
        <w:tc>
          <w:tcPr>
            <w:tcW w:w="1106" w:type="pct"/>
            <w:gridSpan w:val="2"/>
            <w:tcBorders>
              <w:top w:val="single" w:sz="4" w:space="0" w:color="auto"/>
              <w:left w:val="nil"/>
              <w:bottom w:val="single" w:sz="4" w:space="0" w:color="auto"/>
              <w:right w:val="single" w:sz="4" w:space="0" w:color="auto"/>
            </w:tcBorders>
            <w:noWrap/>
            <w:vAlign w:val="bottom"/>
            <w:hideMark/>
          </w:tcPr>
          <w:p w14:paraId="2EEBE575" w14:textId="77777777" w:rsidR="005F2579" w:rsidRPr="00AB1182" w:rsidRDefault="005F2579" w:rsidP="0002712F">
            <w:pPr>
              <w:jc w:val="cente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3</w:t>
            </w:r>
          </w:p>
        </w:tc>
      </w:tr>
      <w:tr w:rsidR="005F2579" w:rsidRPr="00AB1182" w14:paraId="222253CC" w14:textId="77777777" w:rsidTr="0002712F">
        <w:trPr>
          <w:trHeight w:val="260"/>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50CC7617" w14:textId="77777777" w:rsidR="005F2579" w:rsidRPr="00AB1182" w:rsidRDefault="005F2579" w:rsidP="0002712F">
            <w:pPr>
              <w:rPr>
                <w:rFonts w:asciiTheme="minorHAnsi" w:hAnsiTheme="minorHAnsi" w:cstheme="minorHAnsi"/>
                <w:b/>
                <w:bCs/>
                <w:color w:val="000000"/>
                <w:sz w:val="20"/>
                <w:szCs w:val="20"/>
              </w:rPr>
            </w:pPr>
          </w:p>
        </w:tc>
        <w:tc>
          <w:tcPr>
            <w:tcW w:w="483" w:type="pct"/>
            <w:tcBorders>
              <w:top w:val="nil"/>
              <w:left w:val="nil"/>
              <w:bottom w:val="single" w:sz="4" w:space="0" w:color="auto"/>
              <w:right w:val="single" w:sz="4" w:space="0" w:color="auto"/>
            </w:tcBorders>
            <w:noWrap/>
            <w:vAlign w:val="bottom"/>
            <w:hideMark/>
          </w:tcPr>
          <w:p w14:paraId="4EDB3057"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c>
          <w:tcPr>
            <w:tcW w:w="639" w:type="pct"/>
            <w:tcBorders>
              <w:top w:val="nil"/>
              <w:left w:val="nil"/>
              <w:bottom w:val="single" w:sz="4" w:space="0" w:color="auto"/>
              <w:right w:val="single" w:sz="4" w:space="0" w:color="auto"/>
            </w:tcBorders>
            <w:noWrap/>
            <w:vAlign w:val="bottom"/>
            <w:hideMark/>
          </w:tcPr>
          <w:p w14:paraId="49DA473B"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Out of sample forecast</w:t>
            </w:r>
          </w:p>
        </w:tc>
        <w:tc>
          <w:tcPr>
            <w:tcW w:w="476" w:type="pct"/>
            <w:tcBorders>
              <w:top w:val="nil"/>
              <w:left w:val="nil"/>
              <w:bottom w:val="single" w:sz="4" w:space="0" w:color="auto"/>
              <w:right w:val="single" w:sz="4" w:space="0" w:color="auto"/>
            </w:tcBorders>
            <w:noWrap/>
            <w:vAlign w:val="bottom"/>
            <w:hideMark/>
          </w:tcPr>
          <w:p w14:paraId="55EB832A"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c>
          <w:tcPr>
            <w:tcW w:w="630" w:type="pct"/>
            <w:tcBorders>
              <w:top w:val="nil"/>
              <w:left w:val="nil"/>
              <w:bottom w:val="single" w:sz="4" w:space="0" w:color="auto"/>
              <w:right w:val="single" w:sz="4" w:space="0" w:color="auto"/>
            </w:tcBorders>
            <w:noWrap/>
            <w:vAlign w:val="bottom"/>
            <w:hideMark/>
          </w:tcPr>
          <w:p w14:paraId="4713CF34"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Out of sample forecast</w:t>
            </w:r>
          </w:p>
        </w:tc>
        <w:tc>
          <w:tcPr>
            <w:tcW w:w="476" w:type="pct"/>
            <w:tcBorders>
              <w:top w:val="nil"/>
              <w:left w:val="nil"/>
              <w:bottom w:val="single" w:sz="4" w:space="0" w:color="auto"/>
              <w:right w:val="single" w:sz="4" w:space="0" w:color="auto"/>
            </w:tcBorders>
            <w:noWrap/>
            <w:vAlign w:val="bottom"/>
            <w:hideMark/>
          </w:tcPr>
          <w:p w14:paraId="5E00DBC6"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c>
          <w:tcPr>
            <w:tcW w:w="630" w:type="pct"/>
            <w:tcBorders>
              <w:top w:val="nil"/>
              <w:left w:val="nil"/>
              <w:bottom w:val="single" w:sz="4" w:space="0" w:color="auto"/>
              <w:right w:val="single" w:sz="4" w:space="0" w:color="auto"/>
            </w:tcBorders>
            <w:noWrap/>
            <w:vAlign w:val="bottom"/>
            <w:hideMark/>
          </w:tcPr>
          <w:p w14:paraId="61FC2B9F"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Out of sample forecast</w:t>
            </w:r>
          </w:p>
        </w:tc>
      </w:tr>
      <w:tr w:rsidR="005F2579" w:rsidRPr="00AB1182" w14:paraId="40A1EDBD" w14:textId="77777777" w:rsidTr="0002712F">
        <w:trPr>
          <w:trHeight w:val="260"/>
        </w:trPr>
        <w:tc>
          <w:tcPr>
            <w:tcW w:w="1666" w:type="pct"/>
            <w:tcBorders>
              <w:top w:val="nil"/>
              <w:left w:val="single" w:sz="4" w:space="0" w:color="auto"/>
              <w:bottom w:val="single" w:sz="4" w:space="0" w:color="auto"/>
              <w:right w:val="single" w:sz="4" w:space="0" w:color="auto"/>
            </w:tcBorders>
            <w:noWrap/>
            <w:vAlign w:val="bottom"/>
            <w:hideMark/>
          </w:tcPr>
          <w:p w14:paraId="19F57534"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Heating Oil futures only</w:t>
            </w:r>
          </w:p>
        </w:tc>
        <w:tc>
          <w:tcPr>
            <w:tcW w:w="483" w:type="pct"/>
            <w:tcBorders>
              <w:top w:val="nil"/>
              <w:left w:val="nil"/>
              <w:bottom w:val="single" w:sz="4" w:space="0" w:color="auto"/>
              <w:right w:val="single" w:sz="4" w:space="0" w:color="auto"/>
            </w:tcBorders>
            <w:noWrap/>
            <w:vAlign w:val="bottom"/>
            <w:hideMark/>
          </w:tcPr>
          <w:p w14:paraId="789E194A"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55.04%</w:t>
            </w:r>
          </w:p>
        </w:tc>
        <w:tc>
          <w:tcPr>
            <w:tcW w:w="639" w:type="pct"/>
            <w:tcBorders>
              <w:top w:val="nil"/>
              <w:left w:val="nil"/>
              <w:bottom w:val="single" w:sz="4" w:space="0" w:color="auto"/>
              <w:right w:val="single" w:sz="4" w:space="0" w:color="auto"/>
            </w:tcBorders>
            <w:noWrap/>
            <w:vAlign w:val="bottom"/>
            <w:hideMark/>
          </w:tcPr>
          <w:p w14:paraId="643D1E12"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52.41%</w:t>
            </w:r>
          </w:p>
        </w:tc>
        <w:tc>
          <w:tcPr>
            <w:tcW w:w="476" w:type="pct"/>
            <w:tcBorders>
              <w:top w:val="nil"/>
              <w:left w:val="nil"/>
              <w:bottom w:val="single" w:sz="4" w:space="0" w:color="auto"/>
              <w:right w:val="single" w:sz="4" w:space="0" w:color="auto"/>
            </w:tcBorders>
            <w:noWrap/>
            <w:vAlign w:val="bottom"/>
            <w:hideMark/>
          </w:tcPr>
          <w:p w14:paraId="17B791DA"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47.3%</w:t>
            </w:r>
          </w:p>
        </w:tc>
        <w:tc>
          <w:tcPr>
            <w:tcW w:w="630" w:type="pct"/>
            <w:tcBorders>
              <w:top w:val="nil"/>
              <w:left w:val="nil"/>
              <w:bottom w:val="single" w:sz="4" w:space="0" w:color="auto"/>
              <w:right w:val="single" w:sz="4" w:space="0" w:color="auto"/>
            </w:tcBorders>
            <w:noWrap/>
            <w:vAlign w:val="bottom"/>
            <w:hideMark/>
          </w:tcPr>
          <w:p w14:paraId="78630E97"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41.28%</w:t>
            </w:r>
          </w:p>
        </w:tc>
        <w:tc>
          <w:tcPr>
            <w:tcW w:w="476" w:type="pct"/>
            <w:tcBorders>
              <w:top w:val="nil"/>
              <w:left w:val="nil"/>
              <w:bottom w:val="single" w:sz="4" w:space="0" w:color="auto"/>
              <w:right w:val="single" w:sz="4" w:space="0" w:color="auto"/>
            </w:tcBorders>
            <w:noWrap/>
            <w:vAlign w:val="bottom"/>
            <w:hideMark/>
          </w:tcPr>
          <w:p w14:paraId="0B33B21E"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43.4%</w:t>
            </w:r>
          </w:p>
        </w:tc>
        <w:tc>
          <w:tcPr>
            <w:tcW w:w="630" w:type="pct"/>
            <w:tcBorders>
              <w:top w:val="nil"/>
              <w:left w:val="nil"/>
              <w:bottom w:val="single" w:sz="4" w:space="0" w:color="auto"/>
              <w:right w:val="single" w:sz="4" w:space="0" w:color="auto"/>
            </w:tcBorders>
            <w:noWrap/>
            <w:vAlign w:val="bottom"/>
            <w:hideMark/>
          </w:tcPr>
          <w:p w14:paraId="5944D4BB"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47.74%</w:t>
            </w:r>
          </w:p>
        </w:tc>
      </w:tr>
      <w:tr w:rsidR="005F2579" w:rsidRPr="00AB1182" w14:paraId="7E23770E" w14:textId="77777777" w:rsidTr="0002712F">
        <w:trPr>
          <w:trHeight w:val="260"/>
        </w:trPr>
        <w:tc>
          <w:tcPr>
            <w:tcW w:w="1666" w:type="pct"/>
            <w:tcBorders>
              <w:top w:val="nil"/>
              <w:left w:val="single" w:sz="4" w:space="0" w:color="auto"/>
              <w:bottom w:val="single" w:sz="4" w:space="0" w:color="auto"/>
              <w:right w:val="single" w:sz="4" w:space="0" w:color="auto"/>
            </w:tcBorders>
            <w:noWrap/>
            <w:vAlign w:val="bottom"/>
            <w:hideMark/>
          </w:tcPr>
          <w:p w14:paraId="1F2A4367"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crude Oil Futures only</w:t>
            </w:r>
          </w:p>
        </w:tc>
        <w:tc>
          <w:tcPr>
            <w:tcW w:w="483" w:type="pct"/>
            <w:tcBorders>
              <w:top w:val="nil"/>
              <w:left w:val="nil"/>
              <w:bottom w:val="single" w:sz="4" w:space="0" w:color="auto"/>
              <w:right w:val="single" w:sz="4" w:space="0" w:color="auto"/>
            </w:tcBorders>
            <w:noWrap/>
            <w:vAlign w:val="bottom"/>
            <w:hideMark/>
          </w:tcPr>
          <w:p w14:paraId="336894CB"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0.58%</w:t>
            </w:r>
          </w:p>
        </w:tc>
        <w:tc>
          <w:tcPr>
            <w:tcW w:w="639" w:type="pct"/>
            <w:tcBorders>
              <w:top w:val="nil"/>
              <w:left w:val="nil"/>
              <w:bottom w:val="single" w:sz="4" w:space="0" w:color="auto"/>
              <w:right w:val="single" w:sz="4" w:space="0" w:color="auto"/>
            </w:tcBorders>
            <w:noWrap/>
            <w:vAlign w:val="bottom"/>
            <w:hideMark/>
          </w:tcPr>
          <w:p w14:paraId="4E21096F"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-0.08%</w:t>
            </w:r>
          </w:p>
        </w:tc>
        <w:tc>
          <w:tcPr>
            <w:tcW w:w="476" w:type="pct"/>
            <w:tcBorders>
              <w:top w:val="nil"/>
              <w:left w:val="nil"/>
              <w:bottom w:val="single" w:sz="4" w:space="0" w:color="auto"/>
              <w:right w:val="single" w:sz="4" w:space="0" w:color="auto"/>
            </w:tcBorders>
            <w:noWrap/>
            <w:vAlign w:val="bottom"/>
            <w:hideMark/>
          </w:tcPr>
          <w:p w14:paraId="6473D16C"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0.4%</w:t>
            </w:r>
          </w:p>
        </w:tc>
        <w:tc>
          <w:tcPr>
            <w:tcW w:w="630" w:type="pct"/>
            <w:tcBorders>
              <w:top w:val="nil"/>
              <w:left w:val="nil"/>
              <w:bottom w:val="single" w:sz="4" w:space="0" w:color="auto"/>
              <w:right w:val="single" w:sz="4" w:space="0" w:color="auto"/>
            </w:tcBorders>
            <w:noWrap/>
            <w:vAlign w:val="bottom"/>
            <w:hideMark/>
          </w:tcPr>
          <w:p w14:paraId="4A35FDDE"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-1.08%</w:t>
            </w:r>
          </w:p>
        </w:tc>
        <w:tc>
          <w:tcPr>
            <w:tcW w:w="476" w:type="pct"/>
            <w:tcBorders>
              <w:top w:val="nil"/>
              <w:left w:val="nil"/>
              <w:bottom w:val="single" w:sz="4" w:space="0" w:color="auto"/>
              <w:right w:val="single" w:sz="4" w:space="0" w:color="auto"/>
            </w:tcBorders>
            <w:noWrap/>
            <w:vAlign w:val="bottom"/>
            <w:hideMark/>
          </w:tcPr>
          <w:p w14:paraId="1458FB21"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0.8%</w:t>
            </w:r>
          </w:p>
        </w:tc>
        <w:tc>
          <w:tcPr>
            <w:tcW w:w="630" w:type="pct"/>
            <w:tcBorders>
              <w:top w:val="nil"/>
              <w:left w:val="nil"/>
              <w:bottom w:val="single" w:sz="4" w:space="0" w:color="auto"/>
              <w:right w:val="single" w:sz="4" w:space="0" w:color="auto"/>
            </w:tcBorders>
            <w:noWrap/>
            <w:vAlign w:val="bottom"/>
            <w:hideMark/>
          </w:tcPr>
          <w:p w14:paraId="34A6CD6C"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0.07%</w:t>
            </w:r>
          </w:p>
        </w:tc>
      </w:tr>
      <w:tr w:rsidR="005F2579" w:rsidRPr="00AB1182" w14:paraId="3B77663F" w14:textId="77777777" w:rsidTr="0002712F">
        <w:trPr>
          <w:trHeight w:val="260"/>
        </w:trPr>
        <w:tc>
          <w:tcPr>
            <w:tcW w:w="1666" w:type="pct"/>
            <w:tcBorders>
              <w:top w:val="nil"/>
              <w:left w:val="single" w:sz="4" w:space="0" w:color="auto"/>
              <w:bottom w:val="single" w:sz="4" w:space="0" w:color="auto"/>
              <w:right w:val="single" w:sz="4" w:space="0" w:color="auto"/>
            </w:tcBorders>
            <w:noWrap/>
            <w:vAlign w:val="bottom"/>
            <w:hideMark/>
          </w:tcPr>
          <w:p w14:paraId="319B5796" w14:textId="77777777" w:rsidR="005F2579" w:rsidRPr="00AB1182" w:rsidRDefault="005F2579"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 xml:space="preserve">Hedging with Heating Oil </w:t>
            </w:r>
            <w:proofErr w:type="gramStart"/>
            <w:r w:rsidRPr="00AB1182">
              <w:rPr>
                <w:rFonts w:asciiTheme="minorHAnsi" w:hAnsiTheme="minorHAnsi" w:cstheme="minorHAnsi"/>
                <w:b/>
                <w:bCs/>
                <w:color w:val="000000"/>
                <w:sz w:val="20"/>
                <w:szCs w:val="20"/>
              </w:rPr>
              <w:t>futures</w:t>
            </w:r>
            <w:proofErr w:type="gramEnd"/>
            <w:r w:rsidRPr="00AB1182">
              <w:rPr>
                <w:rFonts w:asciiTheme="minorHAnsi" w:hAnsiTheme="minorHAnsi" w:cstheme="minorHAnsi"/>
                <w:b/>
                <w:bCs/>
                <w:color w:val="000000"/>
                <w:sz w:val="20"/>
                <w:szCs w:val="20"/>
              </w:rPr>
              <w:t xml:space="preserve"> * Crude Oil Futures</w:t>
            </w:r>
          </w:p>
        </w:tc>
        <w:tc>
          <w:tcPr>
            <w:tcW w:w="483" w:type="pct"/>
            <w:tcBorders>
              <w:top w:val="nil"/>
              <w:left w:val="nil"/>
              <w:bottom w:val="single" w:sz="4" w:space="0" w:color="auto"/>
              <w:right w:val="single" w:sz="4" w:space="0" w:color="auto"/>
            </w:tcBorders>
            <w:noWrap/>
            <w:vAlign w:val="bottom"/>
            <w:hideMark/>
          </w:tcPr>
          <w:p w14:paraId="2F7BE6F1"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55.09%</w:t>
            </w:r>
          </w:p>
        </w:tc>
        <w:tc>
          <w:tcPr>
            <w:tcW w:w="639" w:type="pct"/>
            <w:tcBorders>
              <w:top w:val="nil"/>
              <w:left w:val="nil"/>
              <w:bottom w:val="single" w:sz="4" w:space="0" w:color="auto"/>
              <w:right w:val="single" w:sz="4" w:space="0" w:color="auto"/>
            </w:tcBorders>
            <w:noWrap/>
            <w:vAlign w:val="bottom"/>
            <w:hideMark/>
          </w:tcPr>
          <w:p w14:paraId="3F577009"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51.97%</w:t>
            </w:r>
          </w:p>
        </w:tc>
        <w:tc>
          <w:tcPr>
            <w:tcW w:w="476" w:type="pct"/>
            <w:tcBorders>
              <w:top w:val="nil"/>
              <w:left w:val="nil"/>
              <w:bottom w:val="single" w:sz="4" w:space="0" w:color="auto"/>
              <w:right w:val="single" w:sz="4" w:space="0" w:color="auto"/>
            </w:tcBorders>
            <w:noWrap/>
            <w:vAlign w:val="bottom"/>
            <w:hideMark/>
          </w:tcPr>
          <w:p w14:paraId="1871E3DC"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48.7%</w:t>
            </w:r>
          </w:p>
        </w:tc>
        <w:tc>
          <w:tcPr>
            <w:tcW w:w="630" w:type="pct"/>
            <w:tcBorders>
              <w:top w:val="nil"/>
              <w:left w:val="nil"/>
              <w:bottom w:val="single" w:sz="4" w:space="0" w:color="auto"/>
              <w:right w:val="single" w:sz="4" w:space="0" w:color="auto"/>
            </w:tcBorders>
            <w:noWrap/>
            <w:vAlign w:val="bottom"/>
            <w:hideMark/>
          </w:tcPr>
          <w:p w14:paraId="643F398C"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40.33%</w:t>
            </w:r>
          </w:p>
        </w:tc>
        <w:tc>
          <w:tcPr>
            <w:tcW w:w="476" w:type="pct"/>
            <w:tcBorders>
              <w:top w:val="nil"/>
              <w:left w:val="nil"/>
              <w:bottom w:val="single" w:sz="4" w:space="0" w:color="auto"/>
              <w:right w:val="single" w:sz="4" w:space="0" w:color="auto"/>
            </w:tcBorders>
            <w:noWrap/>
            <w:vAlign w:val="bottom"/>
            <w:hideMark/>
          </w:tcPr>
          <w:p w14:paraId="688FACC3"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43.4%</w:t>
            </w:r>
          </w:p>
        </w:tc>
        <w:tc>
          <w:tcPr>
            <w:tcW w:w="630" w:type="pct"/>
            <w:tcBorders>
              <w:top w:val="nil"/>
              <w:left w:val="nil"/>
              <w:bottom w:val="single" w:sz="4" w:space="0" w:color="auto"/>
              <w:right w:val="single" w:sz="4" w:space="0" w:color="auto"/>
            </w:tcBorders>
            <w:noWrap/>
            <w:vAlign w:val="bottom"/>
            <w:hideMark/>
          </w:tcPr>
          <w:p w14:paraId="6AE3AD2C" w14:textId="77777777" w:rsidR="005F2579" w:rsidRPr="00AB1182" w:rsidRDefault="005F2579"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47.76%</w:t>
            </w:r>
          </w:p>
        </w:tc>
      </w:tr>
    </w:tbl>
    <w:p w14:paraId="777845DC" w14:textId="77777777" w:rsidR="003A3ED5" w:rsidRDefault="003A3ED5" w:rsidP="00305B0C">
      <w:pPr>
        <w:rPr>
          <w:rFonts w:asciiTheme="minorHAnsi" w:hAnsiTheme="minorHAnsi" w:cstheme="minorHAnsi"/>
        </w:rPr>
      </w:pPr>
    </w:p>
    <w:tbl>
      <w:tblPr>
        <w:tblW w:w="5000" w:type="pct"/>
        <w:tblLook w:val="04A0" w:firstRow="1" w:lastRow="0" w:firstColumn="1" w:lastColumn="0" w:noHBand="0" w:noVBand="1"/>
      </w:tblPr>
      <w:tblGrid>
        <w:gridCol w:w="3970"/>
        <w:gridCol w:w="1443"/>
        <w:gridCol w:w="1443"/>
        <w:gridCol w:w="1443"/>
      </w:tblGrid>
      <w:tr w:rsidR="009001A0" w:rsidRPr="00AB1182" w14:paraId="428ABBBB" w14:textId="77777777" w:rsidTr="0002712F">
        <w:trPr>
          <w:trHeight w:val="260"/>
        </w:trPr>
        <w:tc>
          <w:tcPr>
            <w:tcW w:w="2552" w:type="pct"/>
            <w:vMerge w:val="restart"/>
            <w:tcBorders>
              <w:top w:val="single" w:sz="4" w:space="0" w:color="auto"/>
              <w:left w:val="single" w:sz="4" w:space="0" w:color="auto"/>
              <w:bottom w:val="single" w:sz="4" w:space="0" w:color="auto"/>
              <w:right w:val="single" w:sz="4" w:space="0" w:color="auto"/>
            </w:tcBorders>
            <w:noWrap/>
            <w:vAlign w:val="bottom"/>
            <w:hideMark/>
          </w:tcPr>
          <w:p w14:paraId="54DDCB7E" w14:textId="0B51C545" w:rsidR="009001A0" w:rsidRPr="00AB1182" w:rsidRDefault="009001A0" w:rsidP="0002712F">
            <w:pPr>
              <w:jc w:val="center"/>
              <w:rPr>
                <w:rFonts w:asciiTheme="minorHAnsi" w:hAnsiTheme="minorHAnsi" w:cstheme="minorHAnsi"/>
                <w:b/>
                <w:bCs/>
                <w:color w:val="000000"/>
                <w:sz w:val="20"/>
                <w:szCs w:val="20"/>
                <w:lang w:val="en-AU" w:eastAsia="en-AU"/>
              </w:rPr>
            </w:pPr>
            <w:r w:rsidRPr="00AB1182">
              <w:rPr>
                <w:rFonts w:asciiTheme="minorHAnsi" w:hAnsiTheme="minorHAnsi" w:cstheme="minorHAnsi"/>
                <w:b/>
                <w:bCs/>
                <w:color w:val="000000"/>
                <w:sz w:val="20"/>
                <w:szCs w:val="20"/>
              </w:rPr>
              <w:t xml:space="preserve">Scenario Analysis:  </w:t>
            </w:r>
            <w:r>
              <w:rPr>
                <w:rFonts w:asciiTheme="minorHAnsi" w:hAnsiTheme="minorHAnsi" w:cstheme="minorHAnsi"/>
                <w:b/>
                <w:bCs/>
                <w:color w:val="000000"/>
                <w:sz w:val="20"/>
                <w:szCs w:val="20"/>
              </w:rPr>
              <w:t>Hedge Effectiveness</w:t>
            </w:r>
          </w:p>
        </w:tc>
        <w:tc>
          <w:tcPr>
            <w:tcW w:w="864" w:type="pct"/>
            <w:tcBorders>
              <w:top w:val="single" w:sz="4" w:space="0" w:color="auto"/>
              <w:left w:val="nil"/>
              <w:bottom w:val="single" w:sz="4" w:space="0" w:color="auto"/>
              <w:right w:val="single" w:sz="4" w:space="0" w:color="auto"/>
            </w:tcBorders>
            <w:noWrap/>
            <w:vAlign w:val="bottom"/>
            <w:hideMark/>
          </w:tcPr>
          <w:p w14:paraId="5BD481A8"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1</w:t>
            </w:r>
          </w:p>
        </w:tc>
        <w:tc>
          <w:tcPr>
            <w:tcW w:w="854" w:type="pct"/>
            <w:tcBorders>
              <w:top w:val="single" w:sz="4" w:space="0" w:color="auto"/>
              <w:left w:val="nil"/>
              <w:bottom w:val="single" w:sz="4" w:space="0" w:color="auto"/>
              <w:right w:val="single" w:sz="4" w:space="0" w:color="auto"/>
            </w:tcBorders>
            <w:noWrap/>
            <w:vAlign w:val="bottom"/>
            <w:hideMark/>
          </w:tcPr>
          <w:p w14:paraId="027EDE8E"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2</w:t>
            </w:r>
          </w:p>
        </w:tc>
        <w:tc>
          <w:tcPr>
            <w:tcW w:w="730" w:type="pct"/>
            <w:tcBorders>
              <w:top w:val="single" w:sz="4" w:space="0" w:color="auto"/>
              <w:left w:val="nil"/>
              <w:bottom w:val="single" w:sz="4" w:space="0" w:color="auto"/>
              <w:right w:val="single" w:sz="4" w:space="0" w:color="auto"/>
            </w:tcBorders>
            <w:noWrap/>
            <w:vAlign w:val="bottom"/>
            <w:hideMark/>
          </w:tcPr>
          <w:p w14:paraId="582C9CDD"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Sample 3</w:t>
            </w:r>
          </w:p>
        </w:tc>
      </w:tr>
      <w:tr w:rsidR="009001A0" w:rsidRPr="00AB1182" w14:paraId="7EB40070" w14:textId="77777777" w:rsidTr="0002712F">
        <w:trPr>
          <w:trHeight w:val="260"/>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5F50BF90" w14:textId="77777777" w:rsidR="009001A0" w:rsidRPr="00AB1182" w:rsidRDefault="009001A0" w:rsidP="0002712F">
            <w:pPr>
              <w:rPr>
                <w:rFonts w:asciiTheme="minorHAnsi" w:hAnsiTheme="minorHAnsi" w:cstheme="minorHAnsi"/>
                <w:b/>
                <w:bCs/>
                <w:color w:val="000000"/>
                <w:sz w:val="20"/>
                <w:szCs w:val="20"/>
              </w:rPr>
            </w:pPr>
          </w:p>
        </w:tc>
        <w:tc>
          <w:tcPr>
            <w:tcW w:w="864" w:type="pct"/>
            <w:tcBorders>
              <w:top w:val="nil"/>
              <w:left w:val="nil"/>
              <w:bottom w:val="single" w:sz="4" w:space="0" w:color="auto"/>
              <w:right w:val="single" w:sz="4" w:space="0" w:color="auto"/>
            </w:tcBorders>
            <w:noWrap/>
            <w:vAlign w:val="bottom"/>
            <w:hideMark/>
          </w:tcPr>
          <w:p w14:paraId="37D1CDDB"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c>
          <w:tcPr>
            <w:tcW w:w="854" w:type="pct"/>
            <w:tcBorders>
              <w:top w:val="nil"/>
              <w:left w:val="nil"/>
              <w:bottom w:val="single" w:sz="4" w:space="0" w:color="auto"/>
              <w:right w:val="single" w:sz="4" w:space="0" w:color="auto"/>
            </w:tcBorders>
            <w:noWrap/>
            <w:vAlign w:val="bottom"/>
            <w:hideMark/>
          </w:tcPr>
          <w:p w14:paraId="06D31C89"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c>
          <w:tcPr>
            <w:tcW w:w="730" w:type="pct"/>
            <w:tcBorders>
              <w:top w:val="nil"/>
              <w:left w:val="nil"/>
              <w:bottom w:val="single" w:sz="4" w:space="0" w:color="auto"/>
              <w:right w:val="single" w:sz="4" w:space="0" w:color="auto"/>
            </w:tcBorders>
            <w:noWrap/>
            <w:vAlign w:val="bottom"/>
            <w:hideMark/>
          </w:tcPr>
          <w:p w14:paraId="6BFA5C4E"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In Sample results</w:t>
            </w:r>
          </w:p>
        </w:tc>
      </w:tr>
      <w:tr w:rsidR="009001A0" w:rsidRPr="00AB1182" w14:paraId="545C070D" w14:textId="77777777" w:rsidTr="0002712F">
        <w:trPr>
          <w:trHeight w:val="260"/>
        </w:trPr>
        <w:tc>
          <w:tcPr>
            <w:tcW w:w="2552" w:type="pct"/>
            <w:tcBorders>
              <w:top w:val="nil"/>
              <w:left w:val="single" w:sz="4" w:space="0" w:color="auto"/>
              <w:bottom w:val="single" w:sz="4" w:space="0" w:color="auto"/>
              <w:right w:val="single" w:sz="4" w:space="0" w:color="auto"/>
            </w:tcBorders>
            <w:noWrap/>
            <w:vAlign w:val="bottom"/>
            <w:hideMark/>
          </w:tcPr>
          <w:p w14:paraId="5A81BC4D"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heating Oil futures only</w:t>
            </w:r>
          </w:p>
        </w:tc>
        <w:tc>
          <w:tcPr>
            <w:tcW w:w="864" w:type="pct"/>
            <w:tcBorders>
              <w:top w:val="nil"/>
              <w:left w:val="nil"/>
              <w:bottom w:val="single" w:sz="4" w:space="0" w:color="auto"/>
              <w:right w:val="single" w:sz="4" w:space="0" w:color="auto"/>
            </w:tcBorders>
            <w:noWrap/>
            <w:vAlign w:val="bottom"/>
            <w:hideMark/>
          </w:tcPr>
          <w:p w14:paraId="3E21BA4D"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79.78%</w:t>
            </w:r>
          </w:p>
        </w:tc>
        <w:tc>
          <w:tcPr>
            <w:tcW w:w="854" w:type="pct"/>
            <w:tcBorders>
              <w:top w:val="nil"/>
              <w:left w:val="nil"/>
              <w:bottom w:val="single" w:sz="4" w:space="0" w:color="auto"/>
              <w:right w:val="single" w:sz="4" w:space="0" w:color="auto"/>
            </w:tcBorders>
            <w:noWrap/>
            <w:vAlign w:val="bottom"/>
            <w:hideMark/>
          </w:tcPr>
          <w:p w14:paraId="2EF4FE21"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72.27%</w:t>
            </w:r>
          </w:p>
        </w:tc>
        <w:tc>
          <w:tcPr>
            <w:tcW w:w="730" w:type="pct"/>
            <w:tcBorders>
              <w:top w:val="nil"/>
              <w:left w:val="nil"/>
              <w:bottom w:val="single" w:sz="4" w:space="0" w:color="auto"/>
              <w:right w:val="single" w:sz="4" w:space="0" w:color="auto"/>
            </w:tcBorders>
            <w:noWrap/>
            <w:vAlign w:val="bottom"/>
            <w:hideMark/>
          </w:tcPr>
          <w:p w14:paraId="07C60FE2"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67.98%</w:t>
            </w:r>
          </w:p>
        </w:tc>
      </w:tr>
      <w:tr w:rsidR="009001A0" w:rsidRPr="00AB1182" w14:paraId="0FAF81F0" w14:textId="77777777" w:rsidTr="0002712F">
        <w:trPr>
          <w:trHeight w:val="260"/>
        </w:trPr>
        <w:tc>
          <w:tcPr>
            <w:tcW w:w="2552" w:type="pct"/>
            <w:tcBorders>
              <w:top w:val="nil"/>
              <w:left w:val="single" w:sz="4" w:space="0" w:color="auto"/>
              <w:bottom w:val="single" w:sz="4" w:space="0" w:color="auto"/>
              <w:right w:val="single" w:sz="4" w:space="0" w:color="auto"/>
            </w:tcBorders>
            <w:noWrap/>
            <w:vAlign w:val="bottom"/>
            <w:hideMark/>
          </w:tcPr>
          <w:p w14:paraId="69874F2B"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Hedging with crude Oil Futures only</w:t>
            </w:r>
          </w:p>
        </w:tc>
        <w:tc>
          <w:tcPr>
            <w:tcW w:w="864" w:type="pct"/>
            <w:tcBorders>
              <w:top w:val="nil"/>
              <w:left w:val="nil"/>
              <w:bottom w:val="single" w:sz="4" w:space="0" w:color="auto"/>
              <w:right w:val="single" w:sz="4" w:space="0" w:color="auto"/>
            </w:tcBorders>
            <w:noWrap/>
            <w:vAlign w:val="bottom"/>
            <w:hideMark/>
          </w:tcPr>
          <w:p w14:paraId="06F50F79"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1.16%</w:t>
            </w:r>
          </w:p>
        </w:tc>
        <w:tc>
          <w:tcPr>
            <w:tcW w:w="854" w:type="pct"/>
            <w:tcBorders>
              <w:top w:val="nil"/>
              <w:left w:val="nil"/>
              <w:bottom w:val="single" w:sz="4" w:space="0" w:color="auto"/>
              <w:right w:val="single" w:sz="4" w:space="0" w:color="auto"/>
            </w:tcBorders>
            <w:noWrap/>
            <w:vAlign w:val="bottom"/>
            <w:hideMark/>
          </w:tcPr>
          <w:p w14:paraId="025F4930"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0.82%</w:t>
            </w:r>
          </w:p>
        </w:tc>
        <w:tc>
          <w:tcPr>
            <w:tcW w:w="730" w:type="pct"/>
            <w:tcBorders>
              <w:top w:val="nil"/>
              <w:left w:val="nil"/>
              <w:bottom w:val="single" w:sz="4" w:space="0" w:color="auto"/>
              <w:right w:val="single" w:sz="4" w:space="0" w:color="auto"/>
            </w:tcBorders>
            <w:noWrap/>
            <w:vAlign w:val="bottom"/>
            <w:hideMark/>
          </w:tcPr>
          <w:p w14:paraId="1C875AB5"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1.62%</w:t>
            </w:r>
          </w:p>
        </w:tc>
      </w:tr>
      <w:tr w:rsidR="009001A0" w:rsidRPr="00AB1182" w14:paraId="531A6706" w14:textId="77777777" w:rsidTr="0002712F">
        <w:trPr>
          <w:trHeight w:val="260"/>
        </w:trPr>
        <w:tc>
          <w:tcPr>
            <w:tcW w:w="2552" w:type="pct"/>
            <w:tcBorders>
              <w:top w:val="nil"/>
              <w:left w:val="single" w:sz="4" w:space="0" w:color="auto"/>
              <w:bottom w:val="single" w:sz="4" w:space="0" w:color="auto"/>
              <w:right w:val="single" w:sz="4" w:space="0" w:color="auto"/>
            </w:tcBorders>
            <w:noWrap/>
            <w:vAlign w:val="bottom"/>
            <w:hideMark/>
          </w:tcPr>
          <w:p w14:paraId="5B1896CC" w14:textId="77777777" w:rsidR="009001A0" w:rsidRPr="00AB1182" w:rsidRDefault="009001A0" w:rsidP="0002712F">
            <w:pPr>
              <w:rPr>
                <w:rFonts w:asciiTheme="minorHAnsi" w:hAnsiTheme="minorHAnsi" w:cstheme="minorHAnsi"/>
                <w:b/>
                <w:bCs/>
                <w:color w:val="000000"/>
                <w:sz w:val="20"/>
                <w:szCs w:val="20"/>
              </w:rPr>
            </w:pPr>
            <w:r w:rsidRPr="00AB1182">
              <w:rPr>
                <w:rFonts w:asciiTheme="minorHAnsi" w:hAnsiTheme="minorHAnsi" w:cstheme="minorHAnsi"/>
                <w:b/>
                <w:bCs/>
                <w:color w:val="000000"/>
                <w:sz w:val="20"/>
                <w:szCs w:val="20"/>
              </w:rPr>
              <w:t xml:space="preserve">Hedging with Heating Oil </w:t>
            </w:r>
            <w:proofErr w:type="gramStart"/>
            <w:r w:rsidRPr="00AB1182">
              <w:rPr>
                <w:rFonts w:asciiTheme="minorHAnsi" w:hAnsiTheme="minorHAnsi" w:cstheme="minorHAnsi"/>
                <w:b/>
                <w:bCs/>
                <w:color w:val="000000"/>
                <w:sz w:val="20"/>
                <w:szCs w:val="20"/>
              </w:rPr>
              <w:t>futures</w:t>
            </w:r>
            <w:proofErr w:type="gramEnd"/>
            <w:r w:rsidRPr="00AB1182">
              <w:rPr>
                <w:rFonts w:asciiTheme="minorHAnsi" w:hAnsiTheme="minorHAnsi" w:cstheme="minorHAnsi"/>
                <w:b/>
                <w:bCs/>
                <w:color w:val="000000"/>
                <w:sz w:val="20"/>
                <w:szCs w:val="20"/>
              </w:rPr>
              <w:t xml:space="preserve"> * Crude Oil Futures</w:t>
            </w:r>
          </w:p>
        </w:tc>
        <w:tc>
          <w:tcPr>
            <w:tcW w:w="864" w:type="pct"/>
            <w:tcBorders>
              <w:top w:val="nil"/>
              <w:left w:val="nil"/>
              <w:bottom w:val="single" w:sz="4" w:space="0" w:color="auto"/>
              <w:right w:val="single" w:sz="4" w:space="0" w:color="auto"/>
            </w:tcBorders>
            <w:noWrap/>
            <w:vAlign w:val="bottom"/>
            <w:hideMark/>
          </w:tcPr>
          <w:p w14:paraId="595DFC4E"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79.83%</w:t>
            </w:r>
          </w:p>
        </w:tc>
        <w:tc>
          <w:tcPr>
            <w:tcW w:w="854" w:type="pct"/>
            <w:tcBorders>
              <w:top w:val="nil"/>
              <w:left w:val="nil"/>
              <w:bottom w:val="single" w:sz="4" w:space="0" w:color="auto"/>
              <w:right w:val="single" w:sz="4" w:space="0" w:color="auto"/>
            </w:tcBorders>
            <w:noWrap/>
            <w:vAlign w:val="bottom"/>
            <w:hideMark/>
          </w:tcPr>
          <w:p w14:paraId="05A52145"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73.67%</w:t>
            </w:r>
          </w:p>
        </w:tc>
        <w:tc>
          <w:tcPr>
            <w:tcW w:w="730" w:type="pct"/>
            <w:tcBorders>
              <w:top w:val="nil"/>
              <w:left w:val="nil"/>
              <w:bottom w:val="single" w:sz="4" w:space="0" w:color="auto"/>
              <w:right w:val="single" w:sz="4" w:space="0" w:color="auto"/>
            </w:tcBorders>
            <w:noWrap/>
            <w:vAlign w:val="bottom"/>
            <w:hideMark/>
          </w:tcPr>
          <w:p w14:paraId="2AF9FAE2" w14:textId="77777777" w:rsidR="009001A0" w:rsidRPr="00AB1182" w:rsidRDefault="009001A0" w:rsidP="0002712F">
            <w:pPr>
              <w:jc w:val="right"/>
              <w:rPr>
                <w:rFonts w:asciiTheme="minorHAnsi" w:hAnsiTheme="minorHAnsi" w:cstheme="minorHAnsi"/>
                <w:color w:val="4472C4"/>
                <w:sz w:val="20"/>
                <w:szCs w:val="20"/>
              </w:rPr>
            </w:pPr>
            <w:r w:rsidRPr="00AB1182">
              <w:rPr>
                <w:rFonts w:asciiTheme="minorHAnsi" w:hAnsiTheme="minorHAnsi" w:cstheme="minorHAnsi"/>
                <w:color w:val="4472C4"/>
                <w:sz w:val="20"/>
                <w:szCs w:val="20"/>
              </w:rPr>
              <w:t>67.98%</w:t>
            </w:r>
          </w:p>
        </w:tc>
      </w:tr>
    </w:tbl>
    <w:p w14:paraId="1124070D" w14:textId="77777777" w:rsidR="009001A0" w:rsidRDefault="009001A0" w:rsidP="00305B0C">
      <w:pPr>
        <w:rPr>
          <w:rFonts w:asciiTheme="minorHAnsi" w:hAnsiTheme="minorHAnsi" w:cstheme="minorHAnsi"/>
        </w:rPr>
      </w:pPr>
    </w:p>
    <w:p w14:paraId="565D78D4" w14:textId="77777777" w:rsidR="00231FFB" w:rsidRDefault="00231FFB" w:rsidP="00305B0C">
      <w:pPr>
        <w:rPr>
          <w:rFonts w:asciiTheme="minorHAnsi" w:hAnsiTheme="minorHAnsi" w:cstheme="minorHAnsi"/>
        </w:rPr>
      </w:pPr>
      <w:r>
        <w:rPr>
          <w:rFonts w:asciiTheme="minorHAnsi" w:hAnsiTheme="minorHAnsi" w:cstheme="minorHAnsi"/>
        </w:rPr>
        <w:t>The following are some key findings from this analysis:</w:t>
      </w:r>
    </w:p>
    <w:p w14:paraId="4F507CF2" w14:textId="1DB1F941" w:rsidR="00EE7700" w:rsidRDefault="00464255" w:rsidP="0002712F">
      <w:pPr>
        <w:pStyle w:val="ListParagraph"/>
        <w:numPr>
          <w:ilvl w:val="0"/>
          <w:numId w:val="13"/>
        </w:numPr>
        <w:rPr>
          <w:rFonts w:eastAsia="Times New Roman" w:cstheme="minorHAnsi"/>
          <w:sz w:val="24"/>
          <w:szCs w:val="24"/>
          <w:lang w:val="en-US"/>
        </w:rPr>
      </w:pPr>
      <w:r w:rsidRPr="007C2ED5">
        <w:rPr>
          <w:rFonts w:eastAsia="Times New Roman" w:cstheme="minorHAnsi"/>
          <w:sz w:val="24"/>
          <w:szCs w:val="24"/>
          <w:lang w:val="en-US"/>
        </w:rPr>
        <w:lastRenderedPageBreak/>
        <w:t>H</w:t>
      </w:r>
      <w:r w:rsidR="007C2ED5" w:rsidRPr="007C2ED5">
        <w:rPr>
          <w:rFonts w:eastAsia="Times New Roman" w:cstheme="minorHAnsi"/>
          <w:sz w:val="24"/>
          <w:szCs w:val="24"/>
          <w:lang w:val="en-US"/>
        </w:rPr>
        <w:t xml:space="preserve">edging with </w:t>
      </w:r>
      <w:r w:rsidR="007D7EA4">
        <w:rPr>
          <w:rFonts w:eastAsia="Times New Roman" w:cstheme="minorHAnsi"/>
          <w:sz w:val="24"/>
          <w:szCs w:val="24"/>
          <w:lang w:val="en-US"/>
        </w:rPr>
        <w:t xml:space="preserve">a combination of </w:t>
      </w:r>
      <w:r w:rsidR="007C2ED5" w:rsidRPr="007C2ED5">
        <w:rPr>
          <w:rFonts w:eastAsia="Times New Roman" w:cstheme="minorHAnsi"/>
          <w:sz w:val="24"/>
          <w:szCs w:val="24"/>
          <w:lang w:val="en-US"/>
        </w:rPr>
        <w:t>H</w:t>
      </w:r>
      <w:r w:rsidRPr="007C2ED5">
        <w:rPr>
          <w:rFonts w:eastAsia="Times New Roman" w:cstheme="minorHAnsi"/>
          <w:sz w:val="24"/>
          <w:szCs w:val="24"/>
          <w:lang w:val="en-US"/>
        </w:rPr>
        <w:t>eating Oil</w:t>
      </w:r>
      <w:r w:rsidR="007D7EA4">
        <w:rPr>
          <w:rFonts w:eastAsia="Times New Roman" w:cstheme="minorHAnsi"/>
          <w:sz w:val="24"/>
          <w:szCs w:val="24"/>
          <w:lang w:val="en-US"/>
        </w:rPr>
        <w:t xml:space="preserve"> and crude</w:t>
      </w:r>
      <w:r w:rsidRPr="007C2ED5">
        <w:rPr>
          <w:rFonts w:eastAsia="Times New Roman" w:cstheme="minorHAnsi"/>
          <w:sz w:val="24"/>
          <w:szCs w:val="24"/>
          <w:lang w:val="en-US"/>
        </w:rPr>
        <w:t xml:space="preserve"> futures </w:t>
      </w:r>
      <w:r w:rsidR="007C2ED5" w:rsidRPr="007C2ED5">
        <w:rPr>
          <w:rFonts w:eastAsia="Times New Roman" w:cstheme="minorHAnsi"/>
          <w:sz w:val="24"/>
          <w:szCs w:val="24"/>
          <w:lang w:val="en-US"/>
        </w:rPr>
        <w:t>delivered</w:t>
      </w:r>
      <w:r w:rsidRPr="007C2ED5">
        <w:rPr>
          <w:rFonts w:eastAsia="Times New Roman" w:cstheme="minorHAnsi"/>
          <w:sz w:val="24"/>
          <w:szCs w:val="24"/>
          <w:lang w:val="en-US"/>
        </w:rPr>
        <w:t xml:space="preserve"> the best</w:t>
      </w:r>
      <w:r w:rsidR="00161655" w:rsidRPr="007C2ED5">
        <w:rPr>
          <w:rFonts w:eastAsia="Times New Roman" w:cstheme="minorHAnsi"/>
          <w:sz w:val="24"/>
          <w:szCs w:val="24"/>
          <w:lang w:val="en-US"/>
        </w:rPr>
        <w:t xml:space="preserve"> </w:t>
      </w:r>
      <w:r w:rsidR="00EE7700">
        <w:rPr>
          <w:rFonts w:eastAsia="Times New Roman" w:cstheme="minorHAnsi"/>
          <w:sz w:val="24"/>
          <w:szCs w:val="24"/>
          <w:lang w:val="en-US"/>
        </w:rPr>
        <w:t xml:space="preserve">in-sample and </w:t>
      </w:r>
      <w:r w:rsidR="00161655" w:rsidRPr="007C2ED5">
        <w:rPr>
          <w:rFonts w:eastAsia="Times New Roman" w:cstheme="minorHAnsi"/>
          <w:sz w:val="24"/>
          <w:szCs w:val="24"/>
          <w:lang w:val="en-US"/>
        </w:rPr>
        <w:t xml:space="preserve">out of sample </w:t>
      </w:r>
      <w:r w:rsidR="007C2ED5" w:rsidRPr="007C2ED5">
        <w:rPr>
          <w:rFonts w:eastAsia="Times New Roman" w:cstheme="minorHAnsi"/>
          <w:sz w:val="24"/>
          <w:szCs w:val="24"/>
          <w:lang w:val="en-US"/>
        </w:rPr>
        <w:t xml:space="preserve">performance </w:t>
      </w:r>
      <w:r w:rsidR="00161655" w:rsidRPr="007C2ED5">
        <w:rPr>
          <w:rFonts w:eastAsia="Times New Roman" w:cstheme="minorHAnsi"/>
          <w:sz w:val="24"/>
          <w:szCs w:val="24"/>
          <w:lang w:val="en-US"/>
        </w:rPr>
        <w:t>across all three time periods.</w:t>
      </w:r>
      <w:r w:rsidR="00EE7700">
        <w:rPr>
          <w:rFonts w:eastAsia="Times New Roman" w:cstheme="minorHAnsi"/>
          <w:sz w:val="24"/>
          <w:szCs w:val="24"/>
          <w:lang w:val="en-US"/>
        </w:rPr>
        <w:t xml:space="preserve"> </w:t>
      </w:r>
      <w:r w:rsidR="006455FD">
        <w:rPr>
          <w:rFonts w:eastAsia="Times New Roman" w:cstheme="minorHAnsi"/>
          <w:sz w:val="24"/>
          <w:szCs w:val="24"/>
          <w:lang w:val="en-US"/>
        </w:rPr>
        <w:t>This combination produced the highest risk reduction consistently</w:t>
      </w:r>
      <w:r w:rsidR="0022494A">
        <w:rPr>
          <w:rFonts w:eastAsia="Times New Roman" w:cstheme="minorHAnsi"/>
          <w:sz w:val="24"/>
          <w:szCs w:val="24"/>
          <w:lang w:val="en-US"/>
        </w:rPr>
        <w:t xml:space="preserve"> across all time periods</w:t>
      </w:r>
      <w:r w:rsidR="006455FD">
        <w:rPr>
          <w:rFonts w:eastAsia="Times New Roman" w:cstheme="minorHAnsi"/>
          <w:sz w:val="24"/>
          <w:szCs w:val="24"/>
          <w:lang w:val="en-US"/>
        </w:rPr>
        <w:t xml:space="preserve">. However, this was only marginally better than the risk reduction achieved by hedging with Heating </w:t>
      </w:r>
      <w:proofErr w:type="gramStart"/>
      <w:r w:rsidR="006455FD">
        <w:rPr>
          <w:rFonts w:eastAsia="Times New Roman" w:cstheme="minorHAnsi"/>
          <w:sz w:val="24"/>
          <w:szCs w:val="24"/>
          <w:lang w:val="en-US"/>
        </w:rPr>
        <w:t>Oil futures</w:t>
      </w:r>
      <w:proofErr w:type="gramEnd"/>
      <w:r w:rsidR="006455FD">
        <w:rPr>
          <w:rFonts w:eastAsia="Times New Roman" w:cstheme="minorHAnsi"/>
          <w:sz w:val="24"/>
          <w:szCs w:val="24"/>
          <w:lang w:val="en-US"/>
        </w:rPr>
        <w:t xml:space="preserve"> only</w:t>
      </w:r>
      <w:r w:rsidR="00783713">
        <w:rPr>
          <w:rFonts w:eastAsia="Times New Roman" w:cstheme="minorHAnsi"/>
          <w:sz w:val="24"/>
          <w:szCs w:val="24"/>
          <w:lang w:val="en-US"/>
        </w:rPr>
        <w:t>, which also performed well across all time periods and</w:t>
      </w:r>
      <w:r w:rsidR="00FD18F7">
        <w:rPr>
          <w:rFonts w:eastAsia="Times New Roman" w:cstheme="minorHAnsi"/>
          <w:sz w:val="24"/>
          <w:szCs w:val="24"/>
          <w:lang w:val="en-US"/>
        </w:rPr>
        <w:t xml:space="preserve"> for </w:t>
      </w:r>
      <w:r w:rsidR="00783713">
        <w:rPr>
          <w:rFonts w:eastAsia="Times New Roman" w:cstheme="minorHAnsi"/>
          <w:sz w:val="24"/>
          <w:szCs w:val="24"/>
          <w:lang w:val="en-US"/>
        </w:rPr>
        <w:t xml:space="preserve">both in-sample and </w:t>
      </w:r>
      <w:r w:rsidR="00C7203F">
        <w:rPr>
          <w:rFonts w:eastAsia="Times New Roman" w:cstheme="minorHAnsi"/>
          <w:sz w:val="24"/>
          <w:szCs w:val="24"/>
          <w:lang w:val="en-US"/>
        </w:rPr>
        <w:t>out-of-sample</w:t>
      </w:r>
      <w:r w:rsidR="00783713">
        <w:rPr>
          <w:rFonts w:eastAsia="Times New Roman" w:cstheme="minorHAnsi"/>
          <w:sz w:val="24"/>
          <w:szCs w:val="24"/>
          <w:lang w:val="en-US"/>
        </w:rPr>
        <w:t xml:space="preserve"> data sets.</w:t>
      </w:r>
    </w:p>
    <w:p w14:paraId="79A31D27" w14:textId="66B75E31" w:rsidR="00783713" w:rsidRDefault="00783713" w:rsidP="0002712F">
      <w:pPr>
        <w:pStyle w:val="ListParagraph"/>
        <w:numPr>
          <w:ilvl w:val="0"/>
          <w:numId w:val="13"/>
        </w:numPr>
        <w:rPr>
          <w:rFonts w:eastAsia="Times New Roman" w:cstheme="minorHAnsi"/>
          <w:sz w:val="24"/>
          <w:szCs w:val="24"/>
          <w:lang w:val="en-US"/>
        </w:rPr>
      </w:pPr>
      <w:r>
        <w:rPr>
          <w:rFonts w:eastAsia="Times New Roman" w:cstheme="minorHAnsi"/>
          <w:sz w:val="24"/>
          <w:szCs w:val="24"/>
          <w:lang w:val="en-US"/>
        </w:rPr>
        <w:t xml:space="preserve">The </w:t>
      </w:r>
      <w:r w:rsidR="00B91274">
        <w:rPr>
          <w:rFonts w:eastAsia="Times New Roman" w:cstheme="minorHAnsi"/>
          <w:sz w:val="24"/>
          <w:szCs w:val="24"/>
          <w:lang w:val="en-US"/>
        </w:rPr>
        <w:t xml:space="preserve">best hedge was achieved from the minimum hedge ratio estimated </w:t>
      </w:r>
      <w:r w:rsidR="005F21D8">
        <w:rPr>
          <w:rFonts w:eastAsia="Times New Roman" w:cstheme="minorHAnsi"/>
          <w:sz w:val="24"/>
          <w:szCs w:val="24"/>
          <w:lang w:val="en-US"/>
        </w:rPr>
        <w:t xml:space="preserve">for In-Sample 1 dataset with the highest </w:t>
      </w:r>
      <w:r w:rsidR="00A179F9">
        <w:rPr>
          <w:rFonts w:eastAsia="Times New Roman" w:cstheme="minorHAnsi"/>
          <w:sz w:val="24"/>
          <w:szCs w:val="24"/>
          <w:lang w:val="en-US"/>
        </w:rPr>
        <w:t xml:space="preserve">risk </w:t>
      </w:r>
      <w:r w:rsidR="005F21D8">
        <w:rPr>
          <w:rFonts w:eastAsia="Times New Roman" w:cstheme="minorHAnsi"/>
          <w:sz w:val="24"/>
          <w:szCs w:val="24"/>
          <w:lang w:val="en-US"/>
        </w:rPr>
        <w:t xml:space="preserve">reduction </w:t>
      </w:r>
      <w:r w:rsidR="00A179F9">
        <w:rPr>
          <w:rFonts w:eastAsia="Times New Roman" w:cstheme="minorHAnsi"/>
          <w:sz w:val="24"/>
          <w:szCs w:val="24"/>
          <w:lang w:val="en-US"/>
        </w:rPr>
        <w:t>of 55.09%</w:t>
      </w:r>
      <w:r w:rsidR="00864F81">
        <w:rPr>
          <w:rFonts w:eastAsia="Times New Roman" w:cstheme="minorHAnsi"/>
          <w:sz w:val="24"/>
          <w:szCs w:val="24"/>
          <w:lang w:val="en-US"/>
        </w:rPr>
        <w:t xml:space="preserve"> for he</w:t>
      </w:r>
      <w:r w:rsidR="00FD18F7">
        <w:rPr>
          <w:rFonts w:eastAsia="Times New Roman" w:cstheme="minorHAnsi"/>
          <w:sz w:val="24"/>
          <w:szCs w:val="24"/>
          <w:lang w:val="en-US"/>
        </w:rPr>
        <w:t>dg</w:t>
      </w:r>
      <w:r w:rsidR="00864F81">
        <w:rPr>
          <w:rFonts w:eastAsia="Times New Roman" w:cstheme="minorHAnsi"/>
          <w:sz w:val="24"/>
          <w:szCs w:val="24"/>
          <w:lang w:val="en-US"/>
        </w:rPr>
        <w:t xml:space="preserve">ing with </w:t>
      </w:r>
      <w:r w:rsidR="00FD18F7">
        <w:rPr>
          <w:rFonts w:eastAsia="Times New Roman" w:cstheme="minorHAnsi"/>
          <w:sz w:val="24"/>
          <w:szCs w:val="24"/>
          <w:lang w:val="en-US"/>
        </w:rPr>
        <w:t xml:space="preserve">a </w:t>
      </w:r>
      <w:r w:rsidR="00864F81">
        <w:rPr>
          <w:rFonts w:eastAsia="Times New Roman" w:cstheme="minorHAnsi"/>
          <w:sz w:val="24"/>
          <w:szCs w:val="24"/>
          <w:lang w:val="en-US"/>
        </w:rPr>
        <w:t xml:space="preserve">combination of </w:t>
      </w:r>
      <w:r w:rsidR="00864F81" w:rsidRPr="007C2ED5">
        <w:rPr>
          <w:rFonts w:eastAsia="Times New Roman" w:cstheme="minorHAnsi"/>
          <w:sz w:val="24"/>
          <w:szCs w:val="24"/>
          <w:lang w:val="en-US"/>
        </w:rPr>
        <w:t>Heating Oil</w:t>
      </w:r>
      <w:r w:rsidR="00864F81">
        <w:rPr>
          <w:rFonts w:eastAsia="Times New Roman" w:cstheme="minorHAnsi"/>
          <w:sz w:val="24"/>
          <w:szCs w:val="24"/>
          <w:lang w:val="en-US"/>
        </w:rPr>
        <w:t xml:space="preserve"> and crude</w:t>
      </w:r>
      <w:r w:rsidR="00864F81" w:rsidRPr="007C2ED5">
        <w:rPr>
          <w:rFonts w:eastAsia="Times New Roman" w:cstheme="minorHAnsi"/>
          <w:sz w:val="24"/>
          <w:szCs w:val="24"/>
          <w:lang w:val="en-US"/>
        </w:rPr>
        <w:t xml:space="preserve"> futures</w:t>
      </w:r>
      <w:r w:rsidR="00864F81">
        <w:rPr>
          <w:rFonts w:eastAsia="Times New Roman" w:cstheme="minorHAnsi"/>
          <w:sz w:val="24"/>
          <w:szCs w:val="24"/>
          <w:lang w:val="en-US"/>
        </w:rPr>
        <w:t xml:space="preserve">. This was </w:t>
      </w:r>
      <w:r w:rsidR="00AA38B5">
        <w:rPr>
          <w:rFonts w:eastAsia="Times New Roman" w:cstheme="minorHAnsi"/>
          <w:sz w:val="24"/>
          <w:szCs w:val="24"/>
          <w:lang w:val="en-US"/>
        </w:rPr>
        <w:t xml:space="preserve">closely followed by </w:t>
      </w:r>
      <w:r w:rsidR="00864F81">
        <w:rPr>
          <w:rFonts w:eastAsia="Times New Roman" w:cstheme="minorHAnsi"/>
          <w:sz w:val="24"/>
          <w:szCs w:val="24"/>
          <w:lang w:val="en-US"/>
        </w:rPr>
        <w:t xml:space="preserve">55.04% </w:t>
      </w:r>
      <w:r w:rsidR="00AA38B5">
        <w:rPr>
          <w:rFonts w:eastAsia="Times New Roman" w:cstheme="minorHAnsi"/>
          <w:sz w:val="24"/>
          <w:szCs w:val="24"/>
          <w:lang w:val="en-US"/>
        </w:rPr>
        <w:t>risk reduction through h</w:t>
      </w:r>
      <w:r w:rsidR="00864F81">
        <w:rPr>
          <w:rFonts w:eastAsia="Times New Roman" w:cstheme="minorHAnsi"/>
          <w:sz w:val="24"/>
          <w:szCs w:val="24"/>
          <w:lang w:val="en-US"/>
        </w:rPr>
        <w:t>edging with Heating Oil futures only.</w:t>
      </w:r>
      <w:r w:rsidR="00C7203F">
        <w:rPr>
          <w:rFonts w:eastAsia="Times New Roman" w:cstheme="minorHAnsi"/>
          <w:sz w:val="24"/>
          <w:szCs w:val="24"/>
          <w:lang w:val="en-US"/>
        </w:rPr>
        <w:t xml:space="preserve"> </w:t>
      </w:r>
    </w:p>
    <w:p w14:paraId="35B1E49F" w14:textId="05A015E5" w:rsidR="000858D3" w:rsidRDefault="00C7203F" w:rsidP="0002712F">
      <w:pPr>
        <w:pStyle w:val="ListParagraph"/>
        <w:numPr>
          <w:ilvl w:val="0"/>
          <w:numId w:val="13"/>
        </w:numPr>
        <w:rPr>
          <w:rFonts w:eastAsia="Times New Roman" w:cstheme="minorHAnsi"/>
          <w:sz w:val="24"/>
          <w:szCs w:val="24"/>
          <w:lang w:val="en-US"/>
        </w:rPr>
      </w:pPr>
      <w:r>
        <w:rPr>
          <w:rFonts w:eastAsia="Times New Roman" w:cstheme="minorHAnsi"/>
          <w:sz w:val="24"/>
          <w:szCs w:val="24"/>
          <w:lang w:val="en-US"/>
        </w:rPr>
        <w:t xml:space="preserve">The hedge effectiveness </w:t>
      </w:r>
      <w:r w:rsidR="003606FD">
        <w:rPr>
          <w:rFonts w:eastAsia="Times New Roman" w:cstheme="minorHAnsi"/>
          <w:sz w:val="24"/>
          <w:szCs w:val="24"/>
          <w:lang w:val="en-US"/>
        </w:rPr>
        <w:t>which we retrieved from MLR, was the highest for in-sample 1</w:t>
      </w:r>
      <w:r w:rsidR="004E4429">
        <w:rPr>
          <w:rFonts w:eastAsia="Times New Roman" w:cstheme="minorHAnsi"/>
          <w:sz w:val="24"/>
          <w:szCs w:val="24"/>
          <w:lang w:val="en-US"/>
        </w:rPr>
        <w:t xml:space="preserve">, indicating that the </w:t>
      </w:r>
      <w:r w:rsidR="003606FD">
        <w:rPr>
          <w:rFonts w:eastAsia="Times New Roman" w:cstheme="minorHAnsi"/>
          <w:sz w:val="24"/>
          <w:szCs w:val="24"/>
          <w:lang w:val="en-US"/>
        </w:rPr>
        <w:t xml:space="preserve">combination of </w:t>
      </w:r>
      <w:r w:rsidR="003606FD" w:rsidRPr="007C2ED5">
        <w:rPr>
          <w:rFonts w:eastAsia="Times New Roman" w:cstheme="minorHAnsi"/>
          <w:sz w:val="24"/>
          <w:szCs w:val="24"/>
          <w:lang w:val="en-US"/>
        </w:rPr>
        <w:t>Heating Oil</w:t>
      </w:r>
      <w:r w:rsidR="003606FD">
        <w:rPr>
          <w:rFonts w:eastAsia="Times New Roman" w:cstheme="minorHAnsi"/>
          <w:sz w:val="24"/>
          <w:szCs w:val="24"/>
          <w:lang w:val="en-US"/>
        </w:rPr>
        <w:t xml:space="preserve"> and crude</w:t>
      </w:r>
      <w:r w:rsidR="003606FD" w:rsidRPr="007C2ED5">
        <w:rPr>
          <w:rFonts w:eastAsia="Times New Roman" w:cstheme="minorHAnsi"/>
          <w:sz w:val="24"/>
          <w:szCs w:val="24"/>
          <w:lang w:val="en-US"/>
        </w:rPr>
        <w:t xml:space="preserve"> futures</w:t>
      </w:r>
      <w:r w:rsidR="003606FD">
        <w:rPr>
          <w:rFonts w:eastAsia="Times New Roman" w:cstheme="minorHAnsi"/>
          <w:sz w:val="24"/>
          <w:szCs w:val="24"/>
          <w:lang w:val="en-US"/>
        </w:rPr>
        <w:t xml:space="preserve"> </w:t>
      </w:r>
      <w:r w:rsidR="00EB0AFB">
        <w:rPr>
          <w:rFonts w:eastAsia="Times New Roman" w:cstheme="minorHAnsi"/>
          <w:sz w:val="24"/>
          <w:szCs w:val="24"/>
          <w:lang w:val="en-US"/>
        </w:rPr>
        <w:t xml:space="preserve">reduced the most variation </w:t>
      </w:r>
      <w:r w:rsidR="003606FD">
        <w:rPr>
          <w:rFonts w:eastAsia="Times New Roman" w:cstheme="minorHAnsi"/>
          <w:sz w:val="24"/>
          <w:szCs w:val="24"/>
          <w:lang w:val="en-US"/>
        </w:rPr>
        <w:t xml:space="preserve">followed by </w:t>
      </w:r>
      <w:r w:rsidR="004E4429">
        <w:rPr>
          <w:rFonts w:eastAsia="Times New Roman" w:cstheme="minorHAnsi"/>
          <w:sz w:val="24"/>
          <w:szCs w:val="24"/>
          <w:lang w:val="en-US"/>
        </w:rPr>
        <w:t>hedging with Heating Oil futures</w:t>
      </w:r>
      <w:r w:rsidR="00EB0AFB">
        <w:rPr>
          <w:rFonts w:eastAsia="Times New Roman" w:cstheme="minorHAnsi"/>
          <w:sz w:val="24"/>
          <w:szCs w:val="24"/>
          <w:lang w:val="en-US"/>
        </w:rPr>
        <w:t xml:space="preserve"> only. </w:t>
      </w:r>
    </w:p>
    <w:p w14:paraId="6787E2B8" w14:textId="764EE6C2" w:rsidR="00FC0C6C" w:rsidRPr="00AB1182" w:rsidRDefault="00D40143" w:rsidP="2A7B60E2">
      <w:pPr>
        <w:rPr>
          <w:rFonts w:asciiTheme="minorHAnsi" w:hAnsiTheme="minorHAnsi" w:cstheme="minorBidi"/>
        </w:rPr>
      </w:pPr>
      <w:r w:rsidRPr="2A7B60E2">
        <w:rPr>
          <w:rFonts w:asciiTheme="minorHAnsi" w:hAnsiTheme="minorHAnsi" w:cstheme="minorBidi"/>
        </w:rPr>
        <w:t xml:space="preserve">In determining which hedge is the best, we would consider </w:t>
      </w:r>
      <w:r w:rsidR="4155E516" w:rsidRPr="2A7B60E2">
        <w:rPr>
          <w:rFonts w:asciiTheme="minorHAnsi" w:hAnsiTheme="minorHAnsi" w:cstheme="minorBidi"/>
        </w:rPr>
        <w:t>hedging with Heating oil futures only.</w:t>
      </w:r>
      <w:r w:rsidR="1725E9C5" w:rsidRPr="2A7B60E2">
        <w:rPr>
          <w:rFonts w:asciiTheme="minorHAnsi" w:hAnsiTheme="minorHAnsi" w:cstheme="minorBidi"/>
        </w:rPr>
        <w:t xml:space="preserve"> </w:t>
      </w:r>
      <w:r w:rsidR="05DA5943" w:rsidRPr="2A7B60E2">
        <w:rPr>
          <w:rFonts w:asciiTheme="minorHAnsi" w:hAnsiTheme="minorHAnsi" w:cstheme="minorBidi"/>
        </w:rPr>
        <w:t>Apart from considering the key findings above, we also considered the correlation between Jet Fuel spot price and Heating oil futures.</w:t>
      </w:r>
      <w:r w:rsidR="75E3C6B1" w:rsidRPr="2A7B60E2">
        <w:rPr>
          <w:rFonts w:asciiTheme="minorHAnsi" w:hAnsiTheme="minorHAnsi" w:cstheme="minorBidi"/>
        </w:rPr>
        <w:t xml:space="preserve"> </w:t>
      </w:r>
      <w:r w:rsidR="40069BF5" w:rsidRPr="2A7B60E2">
        <w:rPr>
          <w:rFonts w:asciiTheme="minorHAnsi" w:hAnsiTheme="minorHAnsi" w:cstheme="minorBidi"/>
        </w:rPr>
        <w:t xml:space="preserve">We believe that </w:t>
      </w:r>
      <w:proofErr w:type="gramStart"/>
      <w:r w:rsidR="40069BF5" w:rsidRPr="2A7B60E2">
        <w:rPr>
          <w:rFonts w:asciiTheme="minorHAnsi" w:hAnsiTheme="minorHAnsi" w:cstheme="minorBidi"/>
        </w:rPr>
        <w:t>hedging</w:t>
      </w:r>
      <w:proofErr w:type="gramEnd"/>
      <w:r w:rsidR="40069BF5" w:rsidRPr="2A7B60E2">
        <w:rPr>
          <w:rFonts w:asciiTheme="minorHAnsi" w:hAnsiTheme="minorHAnsi" w:cstheme="minorBidi"/>
        </w:rPr>
        <w:t xml:space="preserve"> with heating oil </w:t>
      </w:r>
      <w:proofErr w:type="gramStart"/>
      <w:r w:rsidR="40069BF5" w:rsidRPr="2A7B60E2">
        <w:rPr>
          <w:rFonts w:asciiTheme="minorHAnsi" w:hAnsiTheme="minorHAnsi" w:cstheme="minorBidi"/>
        </w:rPr>
        <w:t>futures only</w:t>
      </w:r>
      <w:proofErr w:type="gramEnd"/>
      <w:r w:rsidR="40069BF5" w:rsidRPr="2A7B60E2">
        <w:rPr>
          <w:rFonts w:asciiTheme="minorHAnsi" w:hAnsiTheme="minorHAnsi" w:cstheme="minorBidi"/>
        </w:rPr>
        <w:t xml:space="preserve"> would be the best </w:t>
      </w:r>
      <w:r w:rsidR="5F26DCDC" w:rsidRPr="2A7B60E2">
        <w:rPr>
          <w:rFonts w:asciiTheme="minorHAnsi" w:hAnsiTheme="minorHAnsi" w:cstheme="minorBidi"/>
        </w:rPr>
        <w:t>strategy and</w:t>
      </w:r>
      <w:r w:rsidR="40069BF5" w:rsidRPr="2A7B60E2">
        <w:rPr>
          <w:rFonts w:asciiTheme="minorHAnsi" w:hAnsiTheme="minorHAnsi" w:cstheme="minorBidi"/>
        </w:rPr>
        <w:t xml:space="preserve"> the minimum </w:t>
      </w:r>
      <w:r w:rsidR="404E10BB" w:rsidRPr="2A7B60E2">
        <w:rPr>
          <w:rFonts w:asciiTheme="minorHAnsi" w:hAnsiTheme="minorHAnsi" w:cstheme="minorBidi"/>
        </w:rPr>
        <w:t>variance</w:t>
      </w:r>
      <w:r w:rsidR="40069BF5" w:rsidRPr="2A7B60E2">
        <w:rPr>
          <w:rFonts w:asciiTheme="minorHAnsi" w:hAnsiTheme="minorHAnsi" w:cstheme="minorBidi"/>
        </w:rPr>
        <w:t xml:space="preserve"> hedge ratio and optimal number of contracts for </w:t>
      </w:r>
      <w:r w:rsidR="404E10BB" w:rsidRPr="2A7B60E2">
        <w:rPr>
          <w:rFonts w:asciiTheme="minorHAnsi" w:hAnsiTheme="minorHAnsi" w:cstheme="minorBidi"/>
        </w:rPr>
        <w:t xml:space="preserve">adopting the best hedged position would be </w:t>
      </w:r>
      <w:r w:rsidR="0518FF2E" w:rsidRPr="2A7B60E2">
        <w:rPr>
          <w:rFonts w:asciiTheme="minorHAnsi" w:hAnsiTheme="minorHAnsi" w:cstheme="minorBidi"/>
        </w:rPr>
        <w:t xml:space="preserve">0.9154 and 436 </w:t>
      </w:r>
      <w:r w:rsidR="18A0C6E0" w:rsidRPr="2A7B60E2">
        <w:rPr>
          <w:rFonts w:asciiTheme="minorHAnsi" w:hAnsiTheme="minorHAnsi" w:cstheme="minorBidi"/>
        </w:rPr>
        <w:t>contracts,</w:t>
      </w:r>
      <w:r w:rsidR="0518FF2E" w:rsidRPr="2A7B60E2">
        <w:rPr>
          <w:rFonts w:asciiTheme="minorHAnsi" w:hAnsiTheme="minorHAnsi" w:cstheme="minorBidi"/>
        </w:rPr>
        <w:t xml:space="preserve"> respectively. </w:t>
      </w:r>
    </w:p>
    <w:p w14:paraId="373F4F2D" w14:textId="77777777" w:rsidR="006C3ECA" w:rsidRPr="00AB1182" w:rsidRDefault="006C3ECA" w:rsidP="00305B0C">
      <w:pPr>
        <w:rPr>
          <w:rFonts w:asciiTheme="minorHAnsi" w:hAnsiTheme="minorHAnsi" w:cstheme="minorHAnsi"/>
        </w:rPr>
      </w:pPr>
    </w:p>
    <w:p w14:paraId="4EF46A2B" w14:textId="6A141625" w:rsidR="005938D0" w:rsidRPr="00AB1182" w:rsidRDefault="005938D0" w:rsidP="2A7B60E2">
      <w:pPr>
        <w:rPr>
          <w:rFonts w:asciiTheme="minorHAnsi" w:hAnsiTheme="minorHAnsi" w:cstheme="minorBidi"/>
          <w:lang w:val="en-GB" w:eastAsia="en-AU"/>
        </w:rPr>
      </w:pPr>
    </w:p>
    <w:p w14:paraId="598719CA" w14:textId="32A0660F" w:rsidR="00F32ACF" w:rsidRPr="00AB1182" w:rsidRDefault="00F32ACF" w:rsidP="00305B0C">
      <w:pPr>
        <w:pStyle w:val="Heading1"/>
        <w:rPr>
          <w:rFonts w:asciiTheme="minorHAnsi" w:hAnsiTheme="minorHAnsi" w:cstheme="minorHAnsi"/>
          <w:lang w:val="en-GB" w:eastAsia="en-AU"/>
        </w:rPr>
      </w:pPr>
      <w:r w:rsidRPr="00AB1182">
        <w:rPr>
          <w:rFonts w:asciiTheme="minorHAnsi" w:hAnsiTheme="minorHAnsi" w:cstheme="minorHAnsi"/>
          <w:lang w:val="en-GB" w:eastAsia="en-AU"/>
        </w:rPr>
        <w:t>Challenges &amp; Recommendations</w:t>
      </w:r>
    </w:p>
    <w:p w14:paraId="599798DC" w14:textId="5B5EF690" w:rsidR="008B0855" w:rsidRPr="00AB1182" w:rsidRDefault="005938D0" w:rsidP="00305B0C">
      <w:pPr>
        <w:spacing w:after="240"/>
        <w:jc w:val="both"/>
        <w:rPr>
          <w:rFonts w:asciiTheme="minorHAnsi" w:eastAsiaTheme="minorHAnsi" w:hAnsiTheme="minorHAnsi" w:cstheme="minorHAnsi"/>
          <w:bCs/>
          <w:i/>
          <w:iCs/>
          <w:lang w:val="en-IN"/>
        </w:rPr>
      </w:pPr>
      <w:r w:rsidRPr="00AB1182">
        <w:rPr>
          <w:rFonts w:asciiTheme="minorHAnsi" w:hAnsiTheme="minorHAnsi" w:cstheme="minorHAnsi"/>
          <w:bCs/>
        </w:rPr>
        <w:t xml:space="preserve">One of the most pressing challenges we recognized while undertaking our analysis was that </w:t>
      </w:r>
      <w:r w:rsidR="00F86C1A" w:rsidRPr="00AB1182">
        <w:rPr>
          <w:rFonts w:asciiTheme="minorHAnsi" w:hAnsiTheme="minorHAnsi" w:cstheme="minorHAnsi"/>
          <w:bCs/>
        </w:rPr>
        <w:t>we made use of historical data</w:t>
      </w:r>
      <w:r w:rsidR="008E3995" w:rsidRPr="00AB1182">
        <w:rPr>
          <w:rFonts w:asciiTheme="minorHAnsi" w:hAnsiTheme="minorHAnsi" w:cstheme="minorHAnsi"/>
          <w:bCs/>
        </w:rPr>
        <w:t xml:space="preserve">. </w:t>
      </w:r>
      <w:r w:rsidR="0021469B" w:rsidRPr="00AB1182">
        <w:rPr>
          <w:rFonts w:asciiTheme="minorHAnsi" w:hAnsiTheme="minorHAnsi" w:cstheme="minorHAnsi"/>
          <w:bCs/>
        </w:rPr>
        <w:t>I</w:t>
      </w:r>
      <w:r w:rsidR="00081B68" w:rsidRPr="00AB1182">
        <w:rPr>
          <w:rFonts w:asciiTheme="minorHAnsi" w:hAnsiTheme="minorHAnsi" w:cstheme="minorHAnsi"/>
          <w:bCs/>
        </w:rPr>
        <w:t xml:space="preserve">n a backward-looking analysis, forecasts of what the </w:t>
      </w:r>
      <w:r w:rsidR="00FF25DB" w:rsidRPr="00AB1182">
        <w:rPr>
          <w:rFonts w:asciiTheme="minorHAnsi" w:hAnsiTheme="minorHAnsi" w:cstheme="minorHAnsi"/>
          <w:bCs/>
        </w:rPr>
        <w:t xml:space="preserve">future market conditions </w:t>
      </w:r>
      <w:r w:rsidR="00766A68" w:rsidRPr="00AB1182">
        <w:rPr>
          <w:rFonts w:asciiTheme="minorHAnsi" w:hAnsiTheme="minorHAnsi" w:cstheme="minorHAnsi"/>
          <w:bCs/>
        </w:rPr>
        <w:t>will</w:t>
      </w:r>
      <w:r w:rsidR="00FF25DB" w:rsidRPr="00AB1182">
        <w:rPr>
          <w:rFonts w:asciiTheme="minorHAnsi" w:hAnsiTheme="minorHAnsi" w:cstheme="minorHAnsi"/>
          <w:bCs/>
        </w:rPr>
        <w:t xml:space="preserve"> be </w:t>
      </w:r>
      <w:r w:rsidR="004A6CFC" w:rsidRPr="00AB1182">
        <w:rPr>
          <w:rFonts w:asciiTheme="minorHAnsi" w:hAnsiTheme="minorHAnsi" w:cstheme="minorHAnsi"/>
          <w:bCs/>
        </w:rPr>
        <w:t>are</w:t>
      </w:r>
      <w:r w:rsidR="00FF25DB" w:rsidRPr="00AB1182">
        <w:rPr>
          <w:rFonts w:asciiTheme="minorHAnsi" w:hAnsiTheme="minorHAnsi" w:cstheme="minorHAnsi"/>
          <w:bCs/>
        </w:rPr>
        <w:t xml:space="preserve"> lacking</w:t>
      </w:r>
      <w:r w:rsidR="0021469B" w:rsidRPr="00AB1182">
        <w:rPr>
          <w:rFonts w:asciiTheme="minorHAnsi" w:hAnsiTheme="minorHAnsi" w:cstheme="minorHAnsi"/>
          <w:bCs/>
        </w:rPr>
        <w:t xml:space="preserve">. </w:t>
      </w:r>
      <w:r w:rsidR="00C13738" w:rsidRPr="00AB1182">
        <w:rPr>
          <w:rFonts w:asciiTheme="minorHAnsi" w:hAnsiTheme="minorHAnsi" w:cstheme="minorHAnsi"/>
          <w:bCs/>
        </w:rPr>
        <w:t>In practice, h</w:t>
      </w:r>
      <w:r w:rsidR="00FF25DB" w:rsidRPr="00AB1182">
        <w:rPr>
          <w:rFonts w:asciiTheme="minorHAnsi" w:hAnsiTheme="minorHAnsi" w:cstheme="minorHAnsi"/>
          <w:bCs/>
        </w:rPr>
        <w:t xml:space="preserve">edgers </w:t>
      </w:r>
      <w:r w:rsidR="006B56B0" w:rsidRPr="00AB1182">
        <w:rPr>
          <w:rFonts w:asciiTheme="minorHAnsi" w:hAnsiTheme="minorHAnsi" w:cstheme="minorHAnsi"/>
          <w:bCs/>
        </w:rPr>
        <w:t>often</w:t>
      </w:r>
      <w:r w:rsidR="00FF25DB" w:rsidRPr="00AB1182">
        <w:rPr>
          <w:rFonts w:asciiTheme="minorHAnsi" w:hAnsiTheme="minorHAnsi" w:cstheme="minorHAnsi"/>
          <w:bCs/>
        </w:rPr>
        <w:t xml:space="preserve"> </w:t>
      </w:r>
      <w:r w:rsidR="00967E28" w:rsidRPr="00AB1182">
        <w:rPr>
          <w:rFonts w:asciiTheme="minorHAnsi" w:hAnsiTheme="minorHAnsi" w:cstheme="minorHAnsi"/>
          <w:bCs/>
        </w:rPr>
        <w:t>“hedge-and-forget</w:t>
      </w:r>
      <w:r w:rsidR="008E3995" w:rsidRPr="00AB1182">
        <w:rPr>
          <w:rFonts w:asciiTheme="minorHAnsi" w:hAnsiTheme="minorHAnsi" w:cstheme="minorHAnsi"/>
          <w:bCs/>
        </w:rPr>
        <w:t>”</w:t>
      </w:r>
      <w:r w:rsidR="006B56B0" w:rsidRPr="00AB1182">
        <w:rPr>
          <w:rFonts w:asciiTheme="minorHAnsi" w:hAnsiTheme="minorHAnsi" w:cstheme="minorHAnsi"/>
          <w:bCs/>
        </w:rPr>
        <w:t>. This means that they</w:t>
      </w:r>
      <w:r w:rsidR="003D1B3D" w:rsidRPr="00AB1182">
        <w:rPr>
          <w:rFonts w:asciiTheme="minorHAnsi" w:hAnsiTheme="minorHAnsi" w:cstheme="minorHAnsi"/>
          <w:bCs/>
        </w:rPr>
        <w:t xml:space="preserve"> </w:t>
      </w:r>
      <w:r w:rsidR="0021469B" w:rsidRPr="00AB1182">
        <w:rPr>
          <w:rFonts w:asciiTheme="minorHAnsi" w:hAnsiTheme="minorHAnsi" w:cstheme="minorHAnsi"/>
          <w:bCs/>
        </w:rPr>
        <w:t xml:space="preserve">fail to account for </w:t>
      </w:r>
      <w:r w:rsidR="00766A68" w:rsidRPr="00AB1182">
        <w:rPr>
          <w:rFonts w:asciiTheme="minorHAnsi" w:hAnsiTheme="minorHAnsi" w:cstheme="minorHAnsi"/>
          <w:bCs/>
        </w:rPr>
        <w:t xml:space="preserve">daily </w:t>
      </w:r>
      <w:r w:rsidR="006F7431" w:rsidRPr="00AB1182">
        <w:rPr>
          <w:rFonts w:asciiTheme="minorHAnsi" w:hAnsiTheme="minorHAnsi" w:cstheme="minorHAnsi"/>
          <w:bCs/>
        </w:rPr>
        <w:t xml:space="preserve">changes in the parameters </w:t>
      </w:r>
      <w:r w:rsidR="0021469B" w:rsidRPr="00AB1182">
        <w:rPr>
          <w:rFonts w:asciiTheme="minorHAnsi" w:hAnsiTheme="minorHAnsi" w:cstheme="minorHAnsi"/>
          <w:bCs/>
        </w:rPr>
        <w:t>estima</w:t>
      </w:r>
      <w:r w:rsidR="002B1109" w:rsidRPr="00AB1182">
        <w:rPr>
          <w:rFonts w:asciiTheme="minorHAnsi" w:hAnsiTheme="minorHAnsi" w:cstheme="minorHAnsi"/>
          <w:bCs/>
        </w:rPr>
        <w:t>ted to create</w:t>
      </w:r>
      <w:r w:rsidR="006F7431" w:rsidRPr="00AB1182">
        <w:rPr>
          <w:rFonts w:asciiTheme="minorHAnsi" w:hAnsiTheme="minorHAnsi" w:cstheme="minorHAnsi"/>
          <w:bCs/>
        </w:rPr>
        <w:t xml:space="preserve"> the best possible hedge </w:t>
      </w:r>
      <w:r w:rsidR="00E94BC7" w:rsidRPr="00AB1182">
        <w:rPr>
          <w:rFonts w:asciiTheme="minorHAnsi" w:hAnsiTheme="minorHAnsi" w:cstheme="minorHAnsi"/>
          <w:bCs/>
        </w:rPr>
        <w:t>after</w:t>
      </w:r>
      <w:r w:rsidR="00766A68" w:rsidRPr="00AB1182">
        <w:rPr>
          <w:rFonts w:asciiTheme="minorHAnsi" w:hAnsiTheme="minorHAnsi" w:cstheme="minorHAnsi"/>
          <w:bCs/>
        </w:rPr>
        <w:t xml:space="preserve"> locking in their </w:t>
      </w:r>
      <w:r w:rsidR="006B56B0" w:rsidRPr="00AB1182">
        <w:rPr>
          <w:rFonts w:asciiTheme="minorHAnsi" w:hAnsiTheme="minorHAnsi" w:cstheme="minorHAnsi"/>
          <w:bCs/>
        </w:rPr>
        <w:t xml:space="preserve">futures position at the start of the </w:t>
      </w:r>
      <w:r w:rsidR="006A028D" w:rsidRPr="00AB1182">
        <w:rPr>
          <w:rFonts w:asciiTheme="minorHAnsi" w:hAnsiTheme="minorHAnsi" w:cstheme="minorHAnsi"/>
          <w:bCs/>
        </w:rPr>
        <w:t xml:space="preserve">hedge. As the parameters mentioned above, which </w:t>
      </w:r>
      <w:r w:rsidR="00B6588D" w:rsidRPr="00AB1182">
        <w:rPr>
          <w:rFonts w:asciiTheme="minorHAnsi" w:hAnsiTheme="minorHAnsi" w:cstheme="minorHAnsi"/>
          <w:bCs/>
        </w:rPr>
        <w:t>include</w:t>
      </w:r>
      <w:r w:rsidR="006A028D" w:rsidRPr="00AB1182">
        <w:rPr>
          <w:rFonts w:asciiTheme="minorHAnsi" w:hAnsiTheme="minorHAnsi" w:cstheme="minorHAnsi"/>
          <w:bCs/>
        </w:rPr>
        <w:t xml:space="preserve"> </w:t>
      </w:r>
      <w:r w:rsidR="00872383" w:rsidRPr="00AB1182">
        <w:rPr>
          <w:rFonts w:asciiTheme="minorHAnsi" w:hAnsiTheme="minorHAnsi" w:cstheme="minorHAnsi"/>
          <w:bCs/>
        </w:rPr>
        <w:t xml:space="preserve">volatility of </w:t>
      </w:r>
      <w:r w:rsidR="000F0C10" w:rsidRPr="00AB1182">
        <w:rPr>
          <w:rFonts w:asciiTheme="minorHAnsi" w:hAnsiTheme="minorHAnsi" w:cstheme="minorHAnsi"/>
          <w:bCs/>
        </w:rPr>
        <w:t>change</w:t>
      </w:r>
      <w:r w:rsidR="006A028D" w:rsidRPr="00AB1182">
        <w:rPr>
          <w:rFonts w:asciiTheme="minorHAnsi" w:hAnsiTheme="minorHAnsi" w:cstheme="minorHAnsi"/>
          <w:bCs/>
        </w:rPr>
        <w:t>s</w:t>
      </w:r>
      <w:r w:rsidR="000F0C10" w:rsidRPr="00AB1182">
        <w:rPr>
          <w:rFonts w:asciiTheme="minorHAnsi" w:hAnsiTheme="minorHAnsi" w:cstheme="minorHAnsi"/>
          <w:bCs/>
        </w:rPr>
        <w:t xml:space="preserve"> in </w:t>
      </w:r>
      <w:r w:rsidR="000761B0" w:rsidRPr="00AB1182">
        <w:rPr>
          <w:rFonts w:asciiTheme="minorHAnsi" w:hAnsiTheme="minorHAnsi" w:cstheme="minorHAnsi"/>
          <w:bCs/>
        </w:rPr>
        <w:t xml:space="preserve">Jet fuel </w:t>
      </w:r>
      <w:r w:rsidR="00872383" w:rsidRPr="00AB1182">
        <w:rPr>
          <w:rFonts w:asciiTheme="minorHAnsi" w:hAnsiTheme="minorHAnsi" w:cstheme="minorHAnsi"/>
          <w:bCs/>
        </w:rPr>
        <w:t>spot</w:t>
      </w:r>
      <w:r w:rsidR="000761B0" w:rsidRPr="00AB1182">
        <w:rPr>
          <w:rFonts w:asciiTheme="minorHAnsi" w:hAnsiTheme="minorHAnsi" w:cstheme="minorHAnsi"/>
          <w:bCs/>
        </w:rPr>
        <w:t xml:space="preserve"> prices</w:t>
      </w:r>
      <w:r w:rsidR="00872383" w:rsidRPr="00AB1182">
        <w:rPr>
          <w:rFonts w:asciiTheme="minorHAnsi" w:hAnsiTheme="minorHAnsi" w:cstheme="minorHAnsi"/>
          <w:bCs/>
        </w:rPr>
        <w:t xml:space="preserve"> and future prices </w:t>
      </w:r>
      <w:r w:rsidR="00C22F22" w:rsidRPr="00AB1182">
        <w:rPr>
          <w:rFonts w:asciiTheme="minorHAnsi" w:hAnsiTheme="minorHAnsi" w:cstheme="minorHAnsi"/>
          <w:bCs/>
        </w:rPr>
        <w:t xml:space="preserve">of </w:t>
      </w:r>
      <w:r w:rsidR="000761B0" w:rsidRPr="00AB1182">
        <w:rPr>
          <w:rFonts w:asciiTheme="minorHAnsi" w:hAnsiTheme="minorHAnsi" w:cstheme="minorHAnsi"/>
          <w:bCs/>
        </w:rPr>
        <w:t>different hedging instruments</w:t>
      </w:r>
      <w:r w:rsidR="00C22F22" w:rsidRPr="00AB1182">
        <w:rPr>
          <w:rFonts w:asciiTheme="minorHAnsi" w:hAnsiTheme="minorHAnsi" w:cstheme="minorHAnsi"/>
          <w:bCs/>
        </w:rPr>
        <w:t xml:space="preserve"> </w:t>
      </w:r>
      <w:r w:rsidR="00872383" w:rsidRPr="00AB1182">
        <w:rPr>
          <w:rFonts w:asciiTheme="minorHAnsi" w:hAnsiTheme="minorHAnsi" w:cstheme="minorHAnsi"/>
          <w:bCs/>
        </w:rPr>
        <w:t xml:space="preserve">and </w:t>
      </w:r>
      <w:r w:rsidR="000F0C10" w:rsidRPr="00AB1182">
        <w:rPr>
          <w:rFonts w:asciiTheme="minorHAnsi" w:hAnsiTheme="minorHAnsi" w:cstheme="minorHAnsi"/>
          <w:bCs/>
        </w:rPr>
        <w:t xml:space="preserve">the </w:t>
      </w:r>
      <w:r w:rsidR="00872383" w:rsidRPr="00AB1182">
        <w:rPr>
          <w:rFonts w:asciiTheme="minorHAnsi" w:hAnsiTheme="minorHAnsi" w:cstheme="minorHAnsi"/>
          <w:bCs/>
        </w:rPr>
        <w:t>correlation between the two</w:t>
      </w:r>
      <w:r w:rsidR="00C22F22" w:rsidRPr="00AB1182">
        <w:rPr>
          <w:rFonts w:asciiTheme="minorHAnsi" w:hAnsiTheme="minorHAnsi" w:cstheme="minorHAnsi"/>
          <w:bCs/>
        </w:rPr>
        <w:t xml:space="preserve">, </w:t>
      </w:r>
      <w:r w:rsidR="00080C2B" w:rsidRPr="00AB1182">
        <w:rPr>
          <w:rFonts w:asciiTheme="minorHAnsi" w:hAnsiTheme="minorHAnsi" w:cstheme="minorHAnsi"/>
          <w:bCs/>
        </w:rPr>
        <w:t>changes, so does the hedge ratio. Therefore</w:t>
      </w:r>
      <w:r w:rsidR="00257029" w:rsidRPr="00AB1182">
        <w:rPr>
          <w:rFonts w:asciiTheme="minorHAnsi" w:hAnsiTheme="minorHAnsi" w:cstheme="minorHAnsi"/>
          <w:bCs/>
        </w:rPr>
        <w:t>,</w:t>
      </w:r>
      <w:r w:rsidR="00080C2B" w:rsidRPr="00AB1182">
        <w:rPr>
          <w:rFonts w:asciiTheme="minorHAnsi" w:hAnsiTheme="minorHAnsi" w:cstheme="minorHAnsi"/>
          <w:bCs/>
        </w:rPr>
        <w:t xml:space="preserve"> this analysis and the results computed above will not remain</w:t>
      </w:r>
      <w:r w:rsidR="00687152" w:rsidRPr="00AB1182">
        <w:rPr>
          <w:rFonts w:asciiTheme="minorHAnsi" w:hAnsiTheme="minorHAnsi" w:cstheme="minorHAnsi"/>
          <w:bCs/>
        </w:rPr>
        <w:t xml:space="preserve"> constant </w:t>
      </w:r>
      <w:r w:rsidR="00080C2B" w:rsidRPr="00AB1182">
        <w:rPr>
          <w:rFonts w:asciiTheme="minorHAnsi" w:hAnsiTheme="minorHAnsi" w:cstheme="minorHAnsi"/>
          <w:bCs/>
        </w:rPr>
        <w:t xml:space="preserve">as new market information </w:t>
      </w:r>
      <w:r w:rsidR="00113B6D" w:rsidRPr="00AB1182">
        <w:rPr>
          <w:rFonts w:asciiTheme="minorHAnsi" w:hAnsiTheme="minorHAnsi" w:cstheme="minorHAnsi"/>
          <w:bCs/>
        </w:rPr>
        <w:t xml:space="preserve">comes into </w:t>
      </w:r>
      <w:r w:rsidR="00257029" w:rsidRPr="00AB1182">
        <w:rPr>
          <w:rFonts w:asciiTheme="minorHAnsi" w:hAnsiTheme="minorHAnsi" w:cstheme="minorHAnsi"/>
          <w:bCs/>
        </w:rPr>
        <w:t>light</w:t>
      </w:r>
      <w:r w:rsidR="00113B6D" w:rsidRPr="00AB1182">
        <w:rPr>
          <w:rFonts w:asciiTheme="minorHAnsi" w:hAnsiTheme="minorHAnsi" w:cstheme="minorHAnsi"/>
          <w:bCs/>
        </w:rPr>
        <w:t>. Consequentially, any</w:t>
      </w:r>
      <w:r w:rsidR="005D46E2" w:rsidRPr="00AB1182">
        <w:rPr>
          <w:rFonts w:asciiTheme="minorHAnsi" w:hAnsiTheme="minorHAnsi" w:cstheme="minorHAnsi"/>
        </w:rPr>
        <w:t xml:space="preserve"> dramatic fluctuations in prices can lead to significant hedging losses if the timing or the type of hedging strategy is not aligned perfectly with market movements. </w:t>
      </w:r>
    </w:p>
    <w:p w14:paraId="759F98E6" w14:textId="04E5927F" w:rsidR="005D46E2" w:rsidRPr="00DC6164" w:rsidRDefault="1CD46403" w:rsidP="2A7B60E2">
      <w:pPr>
        <w:spacing w:after="240"/>
        <w:jc w:val="both"/>
        <w:rPr>
          <w:rFonts w:asciiTheme="minorHAnsi" w:hAnsiTheme="minorHAnsi" w:cstheme="minorBidi"/>
        </w:rPr>
      </w:pPr>
      <w:r w:rsidRPr="2A7B60E2">
        <w:rPr>
          <w:rFonts w:asciiTheme="minorHAnsi" w:eastAsiaTheme="minorEastAsia" w:hAnsiTheme="minorHAnsi" w:cstheme="minorBidi"/>
          <w:lang w:val="en-IN"/>
        </w:rPr>
        <w:t xml:space="preserve">As a solution to the issue described above, we recommend that the hedger takes </w:t>
      </w:r>
      <w:r w:rsidR="45AD1C9B" w:rsidRPr="2A7B60E2">
        <w:rPr>
          <w:rFonts w:asciiTheme="minorHAnsi" w:eastAsiaTheme="minorEastAsia" w:hAnsiTheme="minorHAnsi" w:cstheme="minorBidi"/>
          <w:lang w:val="en-IN"/>
        </w:rPr>
        <w:t xml:space="preserve">a dynamic position to hedging or employs flexible hedging strategies. </w:t>
      </w:r>
      <w:r w:rsidR="206965AF" w:rsidRPr="2A7B60E2">
        <w:rPr>
          <w:rFonts w:asciiTheme="minorHAnsi" w:eastAsiaTheme="minorEastAsia" w:hAnsiTheme="minorHAnsi" w:cstheme="minorBidi"/>
          <w:lang w:val="en-IN"/>
        </w:rPr>
        <w:t xml:space="preserve">A dynamic position in hedging would involve </w:t>
      </w:r>
      <w:r w:rsidR="206965AF" w:rsidRPr="2A7B60E2">
        <w:rPr>
          <w:rFonts w:asciiTheme="minorHAnsi" w:hAnsiTheme="minorHAnsi" w:cstheme="minorBidi"/>
        </w:rPr>
        <w:t>constant monitoring and re-adjustments of future position in response to newly presented market information.</w:t>
      </w:r>
      <w:r w:rsidR="44FBF273" w:rsidRPr="2A7B60E2">
        <w:rPr>
          <w:rFonts w:asciiTheme="minorHAnsi" w:hAnsiTheme="minorHAnsi" w:cstheme="minorBidi"/>
        </w:rPr>
        <w:t xml:space="preserve"> Alternatively, the hedger could also leverage </w:t>
      </w:r>
      <w:r w:rsidR="4066C784" w:rsidRPr="2A7B60E2">
        <w:rPr>
          <w:rFonts w:asciiTheme="minorHAnsi" w:hAnsiTheme="minorHAnsi" w:cstheme="minorBidi"/>
        </w:rPr>
        <w:t>f</w:t>
      </w:r>
      <w:r w:rsidR="66A6FC25" w:rsidRPr="2A7B60E2">
        <w:rPr>
          <w:rFonts w:asciiTheme="minorHAnsi" w:hAnsiTheme="minorHAnsi" w:cstheme="minorBidi"/>
        </w:rPr>
        <w:t xml:space="preserve">lexible </w:t>
      </w:r>
      <w:r w:rsidR="4066C784" w:rsidRPr="2A7B60E2">
        <w:rPr>
          <w:rFonts w:asciiTheme="minorHAnsi" w:hAnsiTheme="minorHAnsi" w:cstheme="minorBidi"/>
        </w:rPr>
        <w:t>h</w:t>
      </w:r>
      <w:r w:rsidR="66A6FC25" w:rsidRPr="2A7B60E2">
        <w:rPr>
          <w:rFonts w:asciiTheme="minorHAnsi" w:hAnsiTheme="minorHAnsi" w:cstheme="minorBidi"/>
        </w:rPr>
        <w:t xml:space="preserve">edging </w:t>
      </w:r>
      <w:r w:rsidR="4066C784" w:rsidRPr="2A7B60E2">
        <w:rPr>
          <w:rFonts w:asciiTheme="minorHAnsi" w:hAnsiTheme="minorHAnsi" w:cstheme="minorBidi"/>
        </w:rPr>
        <w:t>s</w:t>
      </w:r>
      <w:r w:rsidR="290FB4D0" w:rsidRPr="2A7B60E2">
        <w:rPr>
          <w:rFonts w:asciiTheme="minorHAnsi" w:hAnsiTheme="minorHAnsi" w:cstheme="minorBidi"/>
        </w:rPr>
        <w:t>trategies,</w:t>
      </w:r>
      <w:r w:rsidR="44FBF273" w:rsidRPr="2A7B60E2">
        <w:rPr>
          <w:rFonts w:asciiTheme="minorHAnsi" w:hAnsiTheme="minorHAnsi" w:cstheme="minorBidi"/>
        </w:rPr>
        <w:t xml:space="preserve"> which </w:t>
      </w:r>
      <w:r w:rsidR="4066C784" w:rsidRPr="2A7B60E2">
        <w:rPr>
          <w:rFonts w:asciiTheme="minorHAnsi" w:hAnsiTheme="minorHAnsi" w:cstheme="minorBidi"/>
        </w:rPr>
        <w:t>entail</w:t>
      </w:r>
      <w:r w:rsidR="44FBF273" w:rsidRPr="2A7B60E2">
        <w:rPr>
          <w:rFonts w:asciiTheme="minorHAnsi" w:hAnsiTheme="minorHAnsi" w:cstheme="minorBidi"/>
        </w:rPr>
        <w:t xml:space="preserve"> e</w:t>
      </w:r>
      <w:r w:rsidR="66A6FC25" w:rsidRPr="2A7B60E2">
        <w:rPr>
          <w:rFonts w:asciiTheme="minorHAnsi" w:hAnsiTheme="minorHAnsi" w:cstheme="minorBidi"/>
        </w:rPr>
        <w:t>mploy</w:t>
      </w:r>
      <w:r w:rsidR="44FBF273" w:rsidRPr="2A7B60E2">
        <w:rPr>
          <w:rFonts w:asciiTheme="minorHAnsi" w:hAnsiTheme="minorHAnsi" w:cstheme="minorBidi"/>
        </w:rPr>
        <w:t>ing</w:t>
      </w:r>
      <w:r w:rsidR="66A6FC25" w:rsidRPr="2A7B60E2">
        <w:rPr>
          <w:rFonts w:asciiTheme="minorHAnsi" w:hAnsiTheme="minorHAnsi" w:cstheme="minorBidi"/>
        </w:rPr>
        <w:t xml:space="preserve"> more flexible instruments such as options</w:t>
      </w:r>
      <w:r w:rsidR="44FBF273" w:rsidRPr="2A7B60E2">
        <w:rPr>
          <w:rFonts w:asciiTheme="minorHAnsi" w:hAnsiTheme="minorHAnsi" w:cstheme="minorBidi"/>
        </w:rPr>
        <w:t xml:space="preserve">. </w:t>
      </w:r>
      <w:r w:rsidR="4066C784" w:rsidRPr="2A7B60E2">
        <w:rPr>
          <w:rFonts w:asciiTheme="minorHAnsi" w:hAnsiTheme="minorHAnsi" w:cstheme="minorBidi"/>
        </w:rPr>
        <w:t>To elaborate further o</w:t>
      </w:r>
      <w:r w:rsidR="21E5749F" w:rsidRPr="2A7B60E2">
        <w:rPr>
          <w:rFonts w:asciiTheme="minorHAnsi" w:hAnsiTheme="minorHAnsi" w:cstheme="minorBidi"/>
        </w:rPr>
        <w:t xml:space="preserve">n </w:t>
      </w:r>
      <w:r w:rsidR="4066C784" w:rsidRPr="2A7B60E2">
        <w:rPr>
          <w:rFonts w:asciiTheme="minorHAnsi" w:hAnsiTheme="minorHAnsi" w:cstheme="minorBidi"/>
        </w:rPr>
        <w:t>this, o</w:t>
      </w:r>
      <w:r w:rsidR="574DB1FD" w:rsidRPr="2A7B60E2">
        <w:rPr>
          <w:rFonts w:asciiTheme="minorHAnsi" w:hAnsiTheme="minorHAnsi" w:cstheme="minorBidi"/>
        </w:rPr>
        <w:t xml:space="preserve">ptions </w:t>
      </w:r>
      <w:r w:rsidR="2D9F730F" w:rsidRPr="2A7B60E2">
        <w:rPr>
          <w:rFonts w:asciiTheme="minorHAnsi" w:hAnsiTheme="minorHAnsi" w:cstheme="minorBidi"/>
        </w:rPr>
        <w:t xml:space="preserve">are </w:t>
      </w:r>
      <w:proofErr w:type="gramStart"/>
      <w:r w:rsidR="2D9F730F" w:rsidRPr="2A7B60E2">
        <w:rPr>
          <w:rFonts w:asciiTheme="minorHAnsi" w:hAnsiTheme="minorHAnsi" w:cstheme="minorBidi"/>
        </w:rPr>
        <w:t>a type</w:t>
      </w:r>
      <w:proofErr w:type="gramEnd"/>
      <w:r w:rsidR="2D9F730F" w:rsidRPr="2A7B60E2">
        <w:rPr>
          <w:rFonts w:asciiTheme="minorHAnsi" w:hAnsiTheme="minorHAnsi" w:cstheme="minorBidi"/>
        </w:rPr>
        <w:t xml:space="preserve"> of contract that</w:t>
      </w:r>
      <w:r w:rsidR="574DB1FD" w:rsidRPr="2A7B60E2">
        <w:rPr>
          <w:rFonts w:asciiTheme="minorHAnsi" w:hAnsiTheme="minorHAnsi" w:cstheme="minorBidi"/>
        </w:rPr>
        <w:t xml:space="preserve"> </w:t>
      </w:r>
      <w:r w:rsidR="6AFF2062" w:rsidRPr="2A7B60E2">
        <w:rPr>
          <w:rFonts w:asciiTheme="minorHAnsi" w:hAnsiTheme="minorHAnsi" w:cstheme="minorBidi"/>
        </w:rPr>
        <w:t>gives the buyer of an option the right to exercise a contract</w:t>
      </w:r>
      <w:r w:rsidR="2D9F730F" w:rsidRPr="2A7B60E2">
        <w:rPr>
          <w:rFonts w:asciiTheme="minorHAnsi" w:hAnsiTheme="minorHAnsi" w:cstheme="minorBidi"/>
        </w:rPr>
        <w:t xml:space="preserve"> </w:t>
      </w:r>
      <w:r w:rsidR="04B0342E" w:rsidRPr="2A7B60E2">
        <w:rPr>
          <w:rFonts w:asciiTheme="minorHAnsi" w:hAnsiTheme="minorHAnsi" w:cstheme="minorBidi"/>
        </w:rPr>
        <w:t xml:space="preserve">to hedge </w:t>
      </w:r>
      <w:r w:rsidR="04B0342E" w:rsidRPr="2A7B60E2">
        <w:rPr>
          <w:rFonts w:asciiTheme="minorHAnsi" w:hAnsiTheme="minorHAnsi" w:cstheme="minorBidi"/>
        </w:rPr>
        <w:lastRenderedPageBreak/>
        <w:t>unfavorable market movements.</w:t>
      </w:r>
      <w:r w:rsidR="66A6FC25" w:rsidRPr="2A7B60E2">
        <w:rPr>
          <w:rFonts w:asciiTheme="minorHAnsi" w:hAnsiTheme="minorHAnsi" w:cstheme="minorBidi"/>
        </w:rPr>
        <w:t xml:space="preserve"> </w:t>
      </w:r>
      <w:r w:rsidR="73007F98" w:rsidRPr="2A7B60E2">
        <w:rPr>
          <w:rFonts w:asciiTheme="minorHAnsi" w:hAnsiTheme="minorHAnsi" w:cstheme="minorBidi"/>
        </w:rPr>
        <w:t>Take, for instance, a call option which offers the buyer the right to sell a commodity later as a pre-agreed or strike price.</w:t>
      </w:r>
      <w:r w:rsidR="7498E330" w:rsidRPr="2A7B60E2">
        <w:rPr>
          <w:rFonts w:asciiTheme="minorHAnsi" w:hAnsiTheme="minorHAnsi" w:cstheme="minorBidi"/>
        </w:rPr>
        <w:t xml:space="preserve"> This</w:t>
      </w:r>
      <w:r w:rsidR="0524CEAA" w:rsidRPr="2A7B60E2">
        <w:rPr>
          <w:rFonts w:asciiTheme="minorHAnsi" w:hAnsiTheme="minorHAnsi" w:cstheme="minorBidi"/>
        </w:rPr>
        <w:t xml:space="preserve"> sort of </w:t>
      </w:r>
      <w:r w:rsidR="1347252E" w:rsidRPr="2A7B60E2">
        <w:rPr>
          <w:rFonts w:asciiTheme="minorHAnsi" w:hAnsiTheme="minorHAnsi" w:cstheme="minorBidi"/>
        </w:rPr>
        <w:t>safety</w:t>
      </w:r>
      <w:r w:rsidR="0524CEAA" w:rsidRPr="2A7B60E2">
        <w:rPr>
          <w:rFonts w:asciiTheme="minorHAnsi" w:hAnsiTheme="minorHAnsi" w:cstheme="minorBidi"/>
        </w:rPr>
        <w:t xml:space="preserve"> net </w:t>
      </w:r>
      <w:r w:rsidR="7498E330" w:rsidRPr="2A7B60E2">
        <w:rPr>
          <w:rFonts w:asciiTheme="minorHAnsi" w:hAnsiTheme="minorHAnsi" w:cstheme="minorBidi"/>
        </w:rPr>
        <w:t xml:space="preserve">is </w:t>
      </w:r>
      <w:r w:rsidR="0061053D" w:rsidRPr="2A7B60E2">
        <w:rPr>
          <w:rFonts w:asciiTheme="minorHAnsi" w:hAnsiTheme="minorHAnsi" w:cstheme="minorBidi"/>
        </w:rPr>
        <w:t>especially</w:t>
      </w:r>
      <w:r w:rsidR="7498E330" w:rsidRPr="2A7B60E2">
        <w:rPr>
          <w:rFonts w:asciiTheme="minorHAnsi" w:hAnsiTheme="minorHAnsi" w:cstheme="minorBidi"/>
        </w:rPr>
        <w:t xml:space="preserve"> valuable if the spot price falls below the </w:t>
      </w:r>
      <w:r w:rsidR="4A3A5BE7" w:rsidRPr="2A7B60E2">
        <w:rPr>
          <w:rFonts w:asciiTheme="minorHAnsi" w:hAnsiTheme="minorHAnsi" w:cstheme="minorBidi"/>
        </w:rPr>
        <w:t xml:space="preserve">strike price. </w:t>
      </w:r>
      <w:r w:rsidR="6B5FC8BB" w:rsidRPr="2A7B60E2">
        <w:rPr>
          <w:rFonts w:asciiTheme="minorHAnsi" w:hAnsiTheme="minorHAnsi" w:cstheme="minorBidi"/>
        </w:rPr>
        <w:t>In such a case, the owner of the call option can execute the option and cushion any losses incurred if the hedged future position fails to reduce risk.</w:t>
      </w:r>
      <w:r w:rsidR="290FB4D0" w:rsidRPr="2A7B60E2">
        <w:rPr>
          <w:rFonts w:asciiTheme="minorHAnsi" w:hAnsiTheme="minorHAnsi" w:cstheme="minorBidi"/>
        </w:rPr>
        <w:t xml:space="preserve"> </w:t>
      </w:r>
    </w:p>
    <w:p w14:paraId="7B6C9937" w14:textId="77F8B01C" w:rsidR="00F32ACF" w:rsidRPr="00AB1182" w:rsidRDefault="004230D5" w:rsidP="00305B0C">
      <w:pPr>
        <w:pStyle w:val="Heading1"/>
        <w:rPr>
          <w:rFonts w:asciiTheme="minorHAnsi" w:hAnsiTheme="minorHAnsi" w:cstheme="minorHAnsi"/>
        </w:rPr>
      </w:pPr>
      <w:r w:rsidRPr="00AB1182">
        <w:rPr>
          <w:rFonts w:asciiTheme="minorHAnsi" w:hAnsiTheme="minorHAnsi" w:cstheme="minorHAnsi"/>
        </w:rPr>
        <w:t xml:space="preserve">Analysis of </w:t>
      </w:r>
      <w:r w:rsidR="00F32ACF" w:rsidRPr="00AB1182">
        <w:rPr>
          <w:rFonts w:asciiTheme="minorHAnsi" w:hAnsiTheme="minorHAnsi" w:cstheme="minorHAnsi"/>
        </w:rPr>
        <w:t xml:space="preserve">Market </w:t>
      </w:r>
      <w:r w:rsidR="00B6588D" w:rsidRPr="00AB1182">
        <w:rPr>
          <w:rFonts w:asciiTheme="minorHAnsi" w:hAnsiTheme="minorHAnsi" w:cstheme="minorHAnsi"/>
        </w:rPr>
        <w:t>Condition</w:t>
      </w:r>
    </w:p>
    <w:p w14:paraId="46BD9DAA" w14:textId="3BE4F1BB" w:rsidR="2AB29704" w:rsidRPr="00AB1182" w:rsidRDefault="00420163" w:rsidP="00305B0C">
      <w:pPr>
        <w:pStyle w:val="Heading6"/>
        <w:rPr>
          <w:rFonts w:asciiTheme="minorHAnsi" w:hAnsiTheme="minorHAnsi" w:cstheme="minorHAnsi"/>
        </w:rPr>
      </w:pPr>
      <w:r w:rsidRPr="00AB1182">
        <w:rPr>
          <w:rFonts w:asciiTheme="minorHAnsi" w:hAnsiTheme="minorHAnsi" w:cstheme="minorHAnsi"/>
        </w:rPr>
        <w:t>N</w:t>
      </w:r>
      <w:r w:rsidR="00F32ACF" w:rsidRPr="00AB1182">
        <w:rPr>
          <w:rFonts w:asciiTheme="minorHAnsi" w:hAnsiTheme="minorHAnsi" w:cstheme="minorHAnsi"/>
        </w:rPr>
        <w:t>egative oil prices and super contango in Apr 2020</w:t>
      </w:r>
    </w:p>
    <w:p w14:paraId="0C69A863" w14:textId="5256ED38" w:rsidR="58A6874C" w:rsidRPr="00AB1182" w:rsidRDefault="58A6874C" w:rsidP="00305B0C">
      <w:pPr>
        <w:rPr>
          <w:rFonts w:asciiTheme="minorHAnsi" w:hAnsiTheme="minorHAnsi" w:cstheme="minorHAnsi"/>
        </w:rPr>
      </w:pPr>
    </w:p>
    <w:p w14:paraId="509A3B77" w14:textId="24816385" w:rsidR="736BBCEC" w:rsidRPr="00AB1182" w:rsidRDefault="331A9FEE" w:rsidP="00305B0C">
      <w:pPr>
        <w:spacing w:after="240"/>
        <w:rPr>
          <w:rFonts w:asciiTheme="minorHAnsi" w:hAnsiTheme="minorHAnsi" w:cstheme="minorHAnsi"/>
        </w:rPr>
      </w:pPr>
      <w:r w:rsidRPr="00AB1182">
        <w:rPr>
          <w:rFonts w:asciiTheme="minorHAnsi" w:eastAsia="Arial" w:hAnsiTheme="minorHAnsi" w:cstheme="minorHAnsi"/>
        </w:rPr>
        <w:t>Super-contango is when the spot price for a commodity is trading dramatically below the futures price.</w:t>
      </w:r>
    </w:p>
    <w:p w14:paraId="54939956" w14:textId="6968E46B" w:rsidR="00420163" w:rsidRPr="00AB1182" w:rsidRDefault="18E50F17" w:rsidP="00305B0C">
      <w:pPr>
        <w:spacing w:after="240"/>
        <w:jc w:val="both"/>
        <w:rPr>
          <w:rFonts w:asciiTheme="minorHAnsi" w:hAnsiTheme="minorHAnsi" w:cstheme="minorHAnsi"/>
        </w:rPr>
      </w:pPr>
      <w:r w:rsidRPr="2A7B60E2">
        <w:rPr>
          <w:rFonts w:asciiTheme="minorHAnsi" w:hAnsiTheme="minorHAnsi" w:cstheme="minorBidi"/>
        </w:rPr>
        <w:t xml:space="preserve">The May 2020 futures contract for West Texas Intermediate </w:t>
      </w:r>
      <w:r w:rsidR="0D6D7C84" w:rsidRPr="2A7B60E2">
        <w:rPr>
          <w:rFonts w:asciiTheme="minorHAnsi" w:hAnsiTheme="minorHAnsi" w:cstheme="minorBidi"/>
        </w:rPr>
        <w:t xml:space="preserve">(WTI) </w:t>
      </w:r>
      <w:r w:rsidRPr="2A7B60E2">
        <w:rPr>
          <w:rFonts w:asciiTheme="minorHAnsi" w:hAnsiTheme="minorHAnsi" w:cstheme="minorBidi"/>
        </w:rPr>
        <w:t>crude oil, a benchmark for US oil prices, fell to an unprecedented negative value of $37.63 per barrel on April 20, 2020. The oil futures contract has traded at a negative price for the first time in history.</w:t>
      </w:r>
    </w:p>
    <w:p w14:paraId="330EF425" w14:textId="3858E62A" w:rsidR="2A7B60E2" w:rsidRDefault="2A7B60E2" w:rsidP="2A7B60E2">
      <w:pPr>
        <w:spacing w:after="240"/>
        <w:jc w:val="both"/>
        <w:rPr>
          <w:rFonts w:asciiTheme="minorHAnsi" w:hAnsiTheme="minorHAnsi" w:cstheme="minorBidi"/>
        </w:rPr>
      </w:pPr>
    </w:p>
    <w:p w14:paraId="4B138F87" w14:textId="290366B1" w:rsidR="00420163" w:rsidRPr="00AB1182" w:rsidRDefault="00420163" w:rsidP="00305B0C">
      <w:pPr>
        <w:spacing w:after="240"/>
        <w:jc w:val="both"/>
        <w:rPr>
          <w:rFonts w:asciiTheme="minorHAnsi" w:hAnsiTheme="minorHAnsi" w:cstheme="minorHAnsi"/>
        </w:rPr>
      </w:pPr>
      <w:r w:rsidRPr="00AB1182">
        <w:rPr>
          <w:rFonts w:asciiTheme="minorHAnsi" w:hAnsiTheme="minorHAnsi" w:cstheme="minorHAnsi"/>
        </w:rPr>
        <w:t>The primary factors that led to this dramatic collapse in oil prices were:</w:t>
      </w:r>
    </w:p>
    <w:p w14:paraId="71F9C7B4" w14:textId="2E0B489D" w:rsidR="00420163" w:rsidRPr="00AB1182" w:rsidRDefault="00420163" w:rsidP="00305B0C">
      <w:pPr>
        <w:spacing w:after="240"/>
        <w:jc w:val="both"/>
        <w:rPr>
          <w:rFonts w:asciiTheme="minorHAnsi" w:hAnsiTheme="minorHAnsi" w:cstheme="minorHAnsi"/>
        </w:rPr>
      </w:pPr>
      <w:r w:rsidRPr="00AB1182">
        <w:rPr>
          <w:rFonts w:asciiTheme="minorHAnsi" w:hAnsiTheme="minorHAnsi" w:cstheme="minorHAnsi"/>
        </w:rPr>
        <w:t xml:space="preserve">1. </w:t>
      </w:r>
      <w:r w:rsidRPr="00AB1182">
        <w:rPr>
          <w:rFonts w:asciiTheme="minorHAnsi" w:hAnsiTheme="minorHAnsi" w:cstheme="minorHAnsi"/>
          <w:u w:val="single"/>
        </w:rPr>
        <w:t>Unprecedented demand destruction</w:t>
      </w:r>
      <w:r w:rsidRPr="00AB1182">
        <w:rPr>
          <w:rFonts w:asciiTheme="minorHAnsi" w:hAnsiTheme="minorHAnsi" w:cstheme="minorHAnsi"/>
        </w:rPr>
        <w:t>: The COVID-19 pandemic caused a massive drop in global oil consumption, leading governments to impose lockdowns and travel restrictions that resulted in an impoverishment of fuel consumption.</w:t>
      </w:r>
    </w:p>
    <w:p w14:paraId="166F3A41" w14:textId="77777777" w:rsidR="00420163" w:rsidRPr="00AB1182" w:rsidRDefault="00420163" w:rsidP="00305B0C">
      <w:pPr>
        <w:spacing w:after="240"/>
        <w:jc w:val="both"/>
        <w:rPr>
          <w:rFonts w:asciiTheme="minorHAnsi" w:hAnsiTheme="minorHAnsi" w:cstheme="minorHAnsi"/>
        </w:rPr>
      </w:pPr>
      <w:r w:rsidRPr="00AB1182">
        <w:rPr>
          <w:rFonts w:asciiTheme="minorHAnsi" w:hAnsiTheme="minorHAnsi" w:cstheme="minorHAnsi"/>
        </w:rPr>
        <w:t xml:space="preserve">2. </w:t>
      </w:r>
      <w:r w:rsidRPr="00AB1182">
        <w:rPr>
          <w:rFonts w:asciiTheme="minorHAnsi" w:hAnsiTheme="minorHAnsi" w:cstheme="minorHAnsi"/>
          <w:u w:val="single"/>
        </w:rPr>
        <w:t xml:space="preserve">Oversupply and lack of storage: </w:t>
      </w:r>
      <w:r w:rsidRPr="00AB1182">
        <w:rPr>
          <w:rFonts w:asciiTheme="minorHAnsi" w:hAnsiTheme="minorHAnsi" w:cstheme="minorHAnsi"/>
        </w:rPr>
        <w:t>With demand plummeting, oil producers were left with a glut of crude oil that they struggled to store, leading to a supply-demand imbalance. As a result, some producers were forced to pay the buyers to take the oil off their hands.</w:t>
      </w:r>
    </w:p>
    <w:p w14:paraId="441A9ED0" w14:textId="17565923" w:rsidR="00420163" w:rsidRPr="00AB1182" w:rsidRDefault="00420163" w:rsidP="00305B0C">
      <w:pPr>
        <w:pStyle w:val="NormalWeb"/>
        <w:shd w:val="clear" w:color="auto" w:fill="FFFFFF"/>
        <w:spacing w:after="240" w:afterAutospacing="0"/>
        <w:jc w:val="both"/>
        <w:rPr>
          <w:rFonts w:asciiTheme="minorHAnsi" w:eastAsiaTheme="minorHAnsi" w:hAnsiTheme="minorHAnsi" w:cstheme="minorHAnsi"/>
          <w:lang w:eastAsia="en-US"/>
        </w:rPr>
      </w:pPr>
      <w:r w:rsidRPr="00AB1182">
        <w:rPr>
          <w:rFonts w:asciiTheme="minorHAnsi" w:eastAsiaTheme="minorHAnsi" w:hAnsiTheme="minorHAnsi" w:cstheme="minorHAnsi"/>
          <w:lang w:eastAsia="en-US"/>
        </w:rPr>
        <w:t>However, not all oil prices went negative. The international benchmark, Brent crude, settled at $25.57 per barrel on April 20, down 8.9% but still in positive territory. In contrast to the landlocked WTI that trades at Cushing, Oklahoma's storage hub, Brent crude is a seagoing commodity with more flexibility in terms of storage and transportation.</w:t>
      </w:r>
    </w:p>
    <w:p w14:paraId="045B807B" w14:textId="5053FF8B" w:rsidR="00420163" w:rsidRPr="00AB1182" w:rsidRDefault="00420163" w:rsidP="00305B0C">
      <w:pPr>
        <w:spacing w:after="240"/>
        <w:jc w:val="both"/>
        <w:rPr>
          <w:rFonts w:asciiTheme="minorHAnsi" w:hAnsiTheme="minorHAnsi" w:cstheme="minorHAnsi"/>
        </w:rPr>
      </w:pPr>
      <w:r w:rsidRPr="00AB1182">
        <w:rPr>
          <w:rFonts w:asciiTheme="minorHAnsi" w:hAnsiTheme="minorHAnsi" w:cstheme="minorHAnsi"/>
        </w:rPr>
        <w:t>Futures contracts are agreements to buy or sell oil at a predetermined price on a specific date in the future. Owning oil on delivery day became a burden rather than an asset when storage tanks are approaching capacity.</w:t>
      </w:r>
    </w:p>
    <w:p w14:paraId="455CAE13" w14:textId="381F7B1B" w:rsidR="00420163" w:rsidRPr="00AB1182" w:rsidRDefault="00420163" w:rsidP="00305B0C">
      <w:pPr>
        <w:spacing w:after="240"/>
        <w:jc w:val="both"/>
        <w:rPr>
          <w:rFonts w:asciiTheme="minorHAnsi" w:hAnsiTheme="minorHAnsi" w:cstheme="minorHAnsi"/>
        </w:rPr>
      </w:pPr>
      <w:r w:rsidRPr="00AB1182">
        <w:rPr>
          <w:rFonts w:asciiTheme="minorHAnsi" w:hAnsiTheme="minorHAnsi" w:cstheme="minorHAnsi"/>
        </w:rPr>
        <w:t xml:space="preserve">Additionally, the May 2020 WTI contract was set to expire the following day, and traders holding long positions in that contract were desperate to avoid taking physical delivery of the oil, as storage capacity was rapidly filling up, traders holding expiring WTI May 2020 contracts resorted to selling them at a loss, even if it meant negative prices (U.S. Energy Information Administration. This created a unique situation where the imminent expiration of the May contract, combined with the lack of storage, led to </w:t>
      </w:r>
      <w:r w:rsidR="005F5D4C" w:rsidRPr="00AB1182">
        <w:rPr>
          <w:rFonts w:asciiTheme="minorHAnsi" w:hAnsiTheme="minorHAnsi" w:cstheme="minorHAnsi"/>
        </w:rPr>
        <w:t>unprecedented</w:t>
      </w:r>
      <w:r w:rsidRPr="00AB1182">
        <w:rPr>
          <w:rFonts w:asciiTheme="minorHAnsi" w:hAnsiTheme="minorHAnsi" w:cstheme="minorHAnsi"/>
        </w:rPr>
        <w:t xml:space="preserve"> negative pricing.</w:t>
      </w:r>
    </w:p>
    <w:p w14:paraId="0F8EDC02" w14:textId="77777777" w:rsidR="00420163" w:rsidRPr="00AB1182" w:rsidRDefault="00420163" w:rsidP="00305B0C">
      <w:pPr>
        <w:pStyle w:val="NormalWeb"/>
        <w:shd w:val="clear" w:color="auto" w:fill="FFFFFF"/>
        <w:spacing w:after="240" w:afterAutospacing="0"/>
        <w:jc w:val="both"/>
        <w:rPr>
          <w:rFonts w:asciiTheme="minorHAnsi" w:eastAsiaTheme="minorHAnsi" w:hAnsiTheme="minorHAnsi" w:cstheme="minorHAnsi"/>
          <w:lang w:eastAsia="en-US"/>
        </w:rPr>
      </w:pPr>
      <w:r w:rsidRPr="00AB1182">
        <w:rPr>
          <w:rFonts w:asciiTheme="minorHAnsi" w:eastAsiaTheme="minorHAnsi" w:hAnsiTheme="minorHAnsi" w:cstheme="minorHAnsi"/>
          <w:lang w:eastAsia="en-US"/>
        </w:rPr>
        <w:t xml:space="preserve">In contrast, the June 2020 WTI contract, which was more actively traded, fell about 18% to settle at $20.43 per barrel, while the July contract was approximately 11% </w:t>
      </w:r>
      <w:r w:rsidRPr="00AB1182">
        <w:rPr>
          <w:rFonts w:asciiTheme="minorHAnsi" w:eastAsiaTheme="minorHAnsi" w:hAnsiTheme="minorHAnsi" w:cstheme="minorHAnsi"/>
          <w:lang w:eastAsia="en-US"/>
        </w:rPr>
        <w:lastRenderedPageBreak/>
        <w:t>lower at $26.18 per barrel. This shows a major divergence in the lead months contract with subsequent monthly contracts, which have not been as severely affected by storage restrictions.</w:t>
      </w:r>
    </w:p>
    <w:p w14:paraId="769AE8AD" w14:textId="77777777" w:rsidR="00420163" w:rsidRPr="00AB1182" w:rsidRDefault="18E50F17" w:rsidP="00305B0C">
      <w:pPr>
        <w:spacing w:after="240"/>
        <w:jc w:val="both"/>
        <w:rPr>
          <w:rFonts w:asciiTheme="minorHAnsi" w:hAnsiTheme="minorHAnsi" w:cstheme="minorHAnsi"/>
        </w:rPr>
      </w:pPr>
      <w:r w:rsidRPr="2A7B60E2">
        <w:rPr>
          <w:rFonts w:asciiTheme="minorHAnsi" w:hAnsiTheme="minorHAnsi" w:cstheme="minorBidi"/>
        </w:rPr>
        <w:t>The complex interplay between supply, demand and storage capacity on the oil market has been highlighted by events of April 20, 2020. While a unique set of circumstances led to the never-before-seen negative WTI prices, it serves as a stark reminder of the oil industry's vulnerability to external shocks of the oil futures market and the need for better coordination between producers, regulators, and market participants to prevent such extreme price volatility in the future.</w:t>
      </w:r>
    </w:p>
    <w:p w14:paraId="1EB07B72" w14:textId="6EAF0515" w:rsidR="2A7B60E2" w:rsidRDefault="2A7B60E2" w:rsidP="2A7B60E2">
      <w:pPr>
        <w:spacing w:after="240"/>
        <w:jc w:val="both"/>
        <w:rPr>
          <w:rFonts w:asciiTheme="minorHAnsi" w:hAnsiTheme="minorHAnsi" w:cstheme="minorBidi"/>
        </w:rPr>
      </w:pPr>
    </w:p>
    <w:p w14:paraId="169F3D29" w14:textId="31690186" w:rsidR="009F70A1" w:rsidRPr="00AB1182" w:rsidRDefault="00D02810" w:rsidP="00305B0C">
      <w:pPr>
        <w:pStyle w:val="Heading6"/>
        <w:spacing w:after="240"/>
        <w:rPr>
          <w:rFonts w:asciiTheme="minorHAnsi" w:hAnsiTheme="minorHAnsi" w:cstheme="minorHAnsi"/>
          <w:lang w:val="en-GB" w:eastAsia="en-AU"/>
        </w:rPr>
      </w:pPr>
      <w:r w:rsidRPr="00AB1182">
        <w:rPr>
          <w:rFonts w:asciiTheme="minorHAnsi" w:hAnsiTheme="minorHAnsi" w:cstheme="minorHAnsi"/>
        </w:rPr>
        <w:t>B</w:t>
      </w:r>
      <w:r w:rsidR="009F70A1" w:rsidRPr="00AB1182">
        <w:rPr>
          <w:rFonts w:asciiTheme="minorHAnsi" w:hAnsiTheme="minorHAnsi" w:cstheme="minorHAnsi"/>
        </w:rPr>
        <w:t>ackwardation in March 2022</w:t>
      </w:r>
    </w:p>
    <w:p w14:paraId="7E82750E" w14:textId="3302B15D" w:rsidR="3925B846" w:rsidRPr="00AB1182" w:rsidRDefault="786F36BC" w:rsidP="2A7B60E2">
      <w:pPr>
        <w:spacing w:after="240"/>
        <w:rPr>
          <w:rFonts w:asciiTheme="minorHAnsi" w:hAnsiTheme="minorHAnsi" w:cstheme="minorBidi"/>
        </w:rPr>
      </w:pPr>
      <w:r w:rsidRPr="2A7B60E2">
        <w:rPr>
          <w:rFonts w:asciiTheme="minorHAnsi" w:eastAsia="Arial" w:hAnsiTheme="minorHAnsi" w:cstheme="minorBidi"/>
        </w:rPr>
        <w:t>Backwardation is</w:t>
      </w:r>
      <w:r w:rsidRPr="2A7B60E2">
        <w:rPr>
          <w:rFonts w:asciiTheme="minorHAnsi" w:eastAsia="Arial" w:hAnsiTheme="minorHAnsi" w:cstheme="minorBidi"/>
          <w:color w:val="EEECE1" w:themeColor="background2"/>
        </w:rPr>
        <w:t xml:space="preserve"> </w:t>
      </w:r>
      <w:r w:rsidRPr="2A7B60E2">
        <w:rPr>
          <w:rFonts w:asciiTheme="minorHAnsi" w:eastAsia="Arial" w:hAnsiTheme="minorHAnsi" w:cstheme="minorBidi"/>
          <w:color w:val="040C28"/>
        </w:rPr>
        <w:t>when the current price of an underlying asset is higher than prices trading in the futures market</w:t>
      </w:r>
      <w:r w:rsidRPr="2A7B60E2">
        <w:rPr>
          <w:rFonts w:asciiTheme="minorHAnsi" w:eastAsia="Arial" w:hAnsiTheme="minorHAnsi" w:cstheme="minorBidi"/>
          <w:color w:val="4D5156"/>
        </w:rPr>
        <w:t>.</w:t>
      </w:r>
    </w:p>
    <w:p w14:paraId="22FE9F52" w14:textId="7CD199BC"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On April 20, 2020, the oil futures market experienced an unprecedented event when the price of West Texas Intermediate (WTI) crude oil plummeted into negative territory for the first time in history. This was primarily due to a combination of oversupply and lack of storage capacity amidst the COVID-19 pandemic-induced demand slump. Traders holding May contracts found themselves in a desperate situation as they faced the prospect of taking physical delivery of oil without adequate storage facilities, leading to panic selling and pushing prices into negative territory.</w:t>
      </w:r>
    </w:p>
    <w:p w14:paraId="3FCD1974" w14:textId="67E80732"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On April 21, 2020, the oil futures markets continued to exhibit extreme volatility as traders grappled with the fallout from the previous day's historic plunge. The futures curve on this day likely reflected the heightened uncertainty and turmoil in the market. In a typical futures market, prices for contracts further out in the future are higher than those for immediate delivery, reflecting storage costs, time value of money, and other factors. However, during periods of extreme stress like what occurred in April 2020, this relationship can become distorted, leading to what is known as a "super contango."</w:t>
      </w:r>
    </w:p>
    <w:p w14:paraId="3A5640B9"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The June 2020 WTI contract settled at $20.43 per barrel, while the July contract was approximately 11% higher at $26.18 per barrel. This significant disconnect between the front-month contract and the later-dated contracts demonstrated the market's expectation of a continued supply-demand imbalance and the need for storage capacity.</w:t>
      </w:r>
    </w:p>
    <w:p w14:paraId="64FC9424" w14:textId="54F10C8C" w:rsidR="00D02810" w:rsidRPr="00305B0C" w:rsidRDefault="00D02810" w:rsidP="00305B0C">
      <w:pPr>
        <w:spacing w:after="240"/>
        <w:jc w:val="both"/>
        <w:rPr>
          <w:rFonts w:asciiTheme="minorHAnsi" w:hAnsiTheme="minorHAnsi" w:cstheme="minorHAnsi"/>
        </w:rPr>
      </w:pPr>
      <w:r w:rsidRPr="00AB1182">
        <w:rPr>
          <w:rFonts w:asciiTheme="minorHAnsi" w:hAnsiTheme="minorHAnsi" w:cstheme="minorHAnsi"/>
        </w:rPr>
        <w:t xml:space="preserve">The super contango in the oil futures market on April 21, </w:t>
      </w:r>
      <w:proofErr w:type="gramStart"/>
      <w:r w:rsidRPr="00AB1182">
        <w:rPr>
          <w:rFonts w:asciiTheme="minorHAnsi" w:hAnsiTheme="minorHAnsi" w:cstheme="minorHAnsi"/>
        </w:rPr>
        <w:t>2020</w:t>
      </w:r>
      <w:proofErr w:type="gramEnd"/>
      <w:r w:rsidRPr="00AB1182">
        <w:rPr>
          <w:rFonts w:asciiTheme="minorHAnsi" w:hAnsiTheme="minorHAnsi" w:cstheme="minorHAnsi"/>
        </w:rPr>
        <w:t xml:space="preserve"> reflected the market's assessment that the oversupply and lack of storage would persist in the near term, even as producers and policymakers worked to address the crisis. The steep backwardation in the futures curve indicated that market participants anticipated a gradual recovery in demand and rebalancing of the market over the coming months and years.</w:t>
      </w:r>
    </w:p>
    <w:p w14:paraId="6F4D1136" w14:textId="103704C3" w:rsidR="00C478D4" w:rsidRPr="00AB1182" w:rsidRDefault="00C478D4" w:rsidP="00305B0C">
      <w:pPr>
        <w:pStyle w:val="Heading6"/>
        <w:spacing w:after="240"/>
        <w:rPr>
          <w:rFonts w:asciiTheme="minorHAnsi" w:hAnsiTheme="minorHAnsi" w:cstheme="minorHAnsi"/>
          <w:lang w:val="en-GB" w:eastAsia="en-AU"/>
        </w:rPr>
      </w:pPr>
      <w:r w:rsidRPr="00AB1182">
        <w:rPr>
          <w:rFonts w:asciiTheme="minorHAnsi" w:hAnsiTheme="minorHAnsi" w:cstheme="minorHAnsi"/>
        </w:rPr>
        <w:t>Implications</w:t>
      </w:r>
    </w:p>
    <w:p w14:paraId="0DE033EB" w14:textId="77777777" w:rsidR="00D02810" w:rsidRPr="00AB1182" w:rsidRDefault="00D02810" w:rsidP="00305B0C">
      <w:pPr>
        <w:spacing w:after="240"/>
        <w:jc w:val="both"/>
        <w:rPr>
          <w:rFonts w:asciiTheme="minorHAnsi" w:hAnsiTheme="minorHAnsi" w:cstheme="minorHAnsi"/>
          <w:bCs/>
        </w:rPr>
      </w:pPr>
      <w:r w:rsidRPr="00AB1182">
        <w:rPr>
          <w:rFonts w:asciiTheme="minorHAnsi" w:hAnsiTheme="minorHAnsi" w:cstheme="minorHAnsi"/>
          <w:bCs/>
        </w:rPr>
        <w:t>Market Conditions on April 20, 2020:</w:t>
      </w:r>
    </w:p>
    <w:p w14:paraId="6D347691" w14:textId="77777777" w:rsidR="00D02810" w:rsidRPr="00AB1182" w:rsidRDefault="00D02810" w:rsidP="00305B0C">
      <w:pPr>
        <w:pStyle w:val="ListParagraph"/>
        <w:numPr>
          <w:ilvl w:val="0"/>
          <w:numId w:val="4"/>
        </w:numPr>
        <w:spacing w:after="240" w:line="240" w:lineRule="auto"/>
        <w:jc w:val="both"/>
        <w:rPr>
          <w:rFonts w:cstheme="minorHAnsi"/>
          <w:sz w:val="24"/>
          <w:szCs w:val="24"/>
        </w:rPr>
      </w:pPr>
      <w:r w:rsidRPr="00AB1182">
        <w:rPr>
          <w:rFonts w:cstheme="minorHAnsi"/>
          <w:sz w:val="24"/>
          <w:szCs w:val="24"/>
          <w:u w:val="single"/>
        </w:rPr>
        <w:lastRenderedPageBreak/>
        <w:t>Extreme Volatility</w:t>
      </w:r>
      <w:r w:rsidRPr="00AB1182">
        <w:rPr>
          <w:rFonts w:cstheme="minorHAnsi"/>
          <w:sz w:val="24"/>
          <w:szCs w:val="24"/>
        </w:rPr>
        <w:t>: The data shows extraordinarily low prices, with the May 2020 contract closing at $4.55 and a significant price drop during the session (opening at $14.00).</w:t>
      </w:r>
    </w:p>
    <w:p w14:paraId="10B57B5C" w14:textId="77777777" w:rsidR="00D02810" w:rsidRPr="00AB1182" w:rsidRDefault="00D02810" w:rsidP="00305B0C">
      <w:pPr>
        <w:pStyle w:val="ListParagraph"/>
        <w:numPr>
          <w:ilvl w:val="0"/>
          <w:numId w:val="4"/>
        </w:numPr>
        <w:spacing w:after="240" w:line="240" w:lineRule="auto"/>
        <w:jc w:val="both"/>
        <w:rPr>
          <w:rFonts w:cstheme="minorHAnsi"/>
          <w:sz w:val="24"/>
          <w:szCs w:val="24"/>
        </w:rPr>
      </w:pPr>
      <w:r w:rsidRPr="00AB1182">
        <w:rPr>
          <w:rFonts w:cstheme="minorHAnsi"/>
          <w:sz w:val="24"/>
          <w:szCs w:val="24"/>
          <w:u w:val="single"/>
        </w:rPr>
        <w:t>Contango</w:t>
      </w:r>
      <w:r w:rsidRPr="00AB1182">
        <w:rPr>
          <w:rFonts w:cstheme="minorHAnsi"/>
          <w:sz w:val="24"/>
          <w:szCs w:val="24"/>
        </w:rPr>
        <w:t>: The futures prices were in super contango, evidenced by higher prices in future months (e.g., June 2020 at $20.47). This indicates that the market expected future prices to be higher, mainly due to current oversupply and anticipated recovery in demand.</w:t>
      </w:r>
    </w:p>
    <w:p w14:paraId="1D4A3471" w14:textId="77777777" w:rsidR="00D02810" w:rsidRPr="00AB1182" w:rsidRDefault="00D02810" w:rsidP="00305B0C">
      <w:pPr>
        <w:spacing w:after="240"/>
        <w:jc w:val="both"/>
        <w:rPr>
          <w:rFonts w:asciiTheme="minorHAnsi" w:hAnsiTheme="minorHAnsi" w:cstheme="minorHAnsi"/>
          <w:bCs/>
        </w:rPr>
      </w:pPr>
      <w:r w:rsidRPr="00AB1182">
        <w:rPr>
          <w:rFonts w:asciiTheme="minorHAnsi" w:hAnsiTheme="minorHAnsi" w:cstheme="minorHAnsi"/>
          <w:bCs/>
        </w:rPr>
        <w:t>Market Conditions on March 29, 2022:</w:t>
      </w:r>
    </w:p>
    <w:p w14:paraId="42CA997C" w14:textId="77777777" w:rsidR="00D02810" w:rsidRPr="00AB1182" w:rsidRDefault="00D02810" w:rsidP="00305B0C">
      <w:pPr>
        <w:pStyle w:val="ListParagraph"/>
        <w:numPr>
          <w:ilvl w:val="0"/>
          <w:numId w:val="5"/>
        </w:numPr>
        <w:spacing w:after="240" w:line="240" w:lineRule="auto"/>
        <w:jc w:val="both"/>
        <w:rPr>
          <w:rFonts w:cstheme="minorHAnsi"/>
          <w:sz w:val="24"/>
          <w:szCs w:val="24"/>
        </w:rPr>
      </w:pPr>
      <w:r w:rsidRPr="00AB1182">
        <w:rPr>
          <w:rFonts w:cstheme="minorHAnsi"/>
          <w:sz w:val="24"/>
          <w:szCs w:val="24"/>
          <w:u w:val="single"/>
        </w:rPr>
        <w:t>Higher and More Stable Prices</w:t>
      </w:r>
      <w:r w:rsidRPr="00AB1182">
        <w:rPr>
          <w:rFonts w:cstheme="minorHAnsi"/>
          <w:sz w:val="24"/>
          <w:szCs w:val="24"/>
        </w:rPr>
        <w:t>: Prices were substantially higher across all futures contracts, with the May 2022 contract at $105.21 and the subsequent months showing relatively stable prices (June 2022 at $102.86).</w:t>
      </w:r>
    </w:p>
    <w:p w14:paraId="716EF9FE" w14:textId="77777777" w:rsidR="00D02810" w:rsidRPr="00AB1182" w:rsidRDefault="00D02810" w:rsidP="00305B0C">
      <w:pPr>
        <w:pStyle w:val="ListParagraph"/>
        <w:numPr>
          <w:ilvl w:val="0"/>
          <w:numId w:val="5"/>
        </w:numPr>
        <w:spacing w:after="240" w:line="240" w:lineRule="auto"/>
        <w:jc w:val="both"/>
        <w:rPr>
          <w:rFonts w:cstheme="minorHAnsi"/>
          <w:sz w:val="24"/>
          <w:szCs w:val="24"/>
        </w:rPr>
      </w:pPr>
      <w:r w:rsidRPr="00AB1182">
        <w:rPr>
          <w:rFonts w:cstheme="minorHAnsi"/>
          <w:sz w:val="24"/>
          <w:szCs w:val="24"/>
          <w:u w:val="single"/>
        </w:rPr>
        <w:t>Backwardation</w:t>
      </w:r>
      <w:r w:rsidRPr="00AB1182">
        <w:rPr>
          <w:rFonts w:cstheme="minorHAnsi"/>
          <w:sz w:val="24"/>
          <w:szCs w:val="24"/>
        </w:rPr>
        <w:t>: Unlike in 2020, the futures curve in 2022 shows prices decreasing in future months (e.g., May 2022 at $105.21 and March 2023 at $85.54), indicating a backwardation market structure. This suggests that the market expected the current high prices to decline over time, possibly due to forecasted decreases in demand or increases in supply.</w:t>
      </w:r>
    </w:p>
    <w:p w14:paraId="49797E35" w14:textId="77777777" w:rsidR="00D02810" w:rsidRPr="00AB1182" w:rsidRDefault="00D02810" w:rsidP="00305B0C">
      <w:pPr>
        <w:spacing w:after="240"/>
        <w:jc w:val="both"/>
        <w:rPr>
          <w:rFonts w:asciiTheme="minorHAnsi" w:hAnsiTheme="minorHAnsi" w:cstheme="minorHAnsi"/>
          <w:bCs/>
        </w:rPr>
      </w:pPr>
      <w:r w:rsidRPr="00AB1182">
        <w:rPr>
          <w:rFonts w:asciiTheme="minorHAnsi" w:hAnsiTheme="minorHAnsi" w:cstheme="minorHAnsi"/>
          <w:bCs/>
        </w:rPr>
        <w:t xml:space="preserve">Implications </w:t>
      </w:r>
      <w:proofErr w:type="gramStart"/>
      <w:r w:rsidRPr="00AB1182">
        <w:rPr>
          <w:rFonts w:asciiTheme="minorHAnsi" w:hAnsiTheme="minorHAnsi" w:cstheme="minorHAnsi"/>
          <w:bCs/>
        </w:rPr>
        <w:t>on</w:t>
      </w:r>
      <w:proofErr w:type="gramEnd"/>
      <w:r w:rsidRPr="00AB1182">
        <w:rPr>
          <w:rFonts w:asciiTheme="minorHAnsi" w:hAnsiTheme="minorHAnsi" w:cstheme="minorHAnsi"/>
          <w:bCs/>
        </w:rPr>
        <w:t xml:space="preserve"> Risk Management Practices:</w:t>
      </w:r>
    </w:p>
    <w:p w14:paraId="54EB97B0" w14:textId="77777777" w:rsidR="00D02810" w:rsidRPr="00AB1182" w:rsidRDefault="00D02810" w:rsidP="00305B0C">
      <w:pPr>
        <w:pStyle w:val="ListParagraph"/>
        <w:numPr>
          <w:ilvl w:val="0"/>
          <w:numId w:val="6"/>
        </w:numPr>
        <w:spacing w:after="240" w:line="240" w:lineRule="auto"/>
        <w:jc w:val="both"/>
        <w:rPr>
          <w:rFonts w:cstheme="minorHAnsi"/>
          <w:sz w:val="24"/>
          <w:szCs w:val="24"/>
          <w:u w:val="single"/>
        </w:rPr>
      </w:pPr>
      <w:r w:rsidRPr="00AB1182">
        <w:rPr>
          <w:rFonts w:cstheme="minorHAnsi"/>
          <w:sz w:val="24"/>
          <w:szCs w:val="24"/>
          <w:u w:val="single"/>
        </w:rPr>
        <w:t>Volatility Management:</w:t>
      </w:r>
    </w:p>
    <w:p w14:paraId="6D270C02"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2020: Risk management needed to focus heavily on managing extreme volatility and negative price risks, particularly around physical delivery and storage logistics.</w:t>
      </w:r>
    </w:p>
    <w:p w14:paraId="0E049719"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2022: Strategies should still account for high prices and volatility but could also leverage standard hedging tools more effectively, as the risk of negative prices was not present.</w:t>
      </w:r>
    </w:p>
    <w:p w14:paraId="612562FC" w14:textId="77777777" w:rsidR="00D02810" w:rsidRPr="00AB1182" w:rsidRDefault="00D02810" w:rsidP="00305B0C">
      <w:pPr>
        <w:pStyle w:val="ListParagraph"/>
        <w:numPr>
          <w:ilvl w:val="0"/>
          <w:numId w:val="6"/>
        </w:numPr>
        <w:spacing w:after="240" w:line="240" w:lineRule="auto"/>
        <w:jc w:val="both"/>
        <w:rPr>
          <w:rFonts w:cstheme="minorHAnsi"/>
          <w:sz w:val="24"/>
          <w:szCs w:val="24"/>
          <w:u w:val="single"/>
        </w:rPr>
      </w:pPr>
      <w:r w:rsidRPr="00AB1182">
        <w:rPr>
          <w:rFonts w:cstheme="minorHAnsi"/>
          <w:sz w:val="24"/>
          <w:szCs w:val="24"/>
          <w:u w:val="single"/>
        </w:rPr>
        <w:t>Liquidity Concerns:</w:t>
      </w:r>
    </w:p>
    <w:p w14:paraId="725353A2"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2020: Ensuring liquidity was critical, especially when closing or rolling over positions in a highly volatile market. Companies needed robust liquidity plans to manage these risks.</w:t>
      </w:r>
    </w:p>
    <w:p w14:paraId="01BC51E3"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 xml:space="preserve">2022: Although prices were high, the market structure was more stable, likely </w:t>
      </w:r>
      <w:proofErr w:type="gramStart"/>
      <w:r w:rsidRPr="00AB1182">
        <w:rPr>
          <w:rFonts w:asciiTheme="minorHAnsi" w:hAnsiTheme="minorHAnsi" w:cstheme="minorHAnsi"/>
        </w:rPr>
        <w:t>offering</w:t>
      </w:r>
      <w:proofErr w:type="gramEnd"/>
      <w:r w:rsidRPr="00AB1182">
        <w:rPr>
          <w:rFonts w:asciiTheme="minorHAnsi" w:hAnsiTheme="minorHAnsi" w:cstheme="minorHAnsi"/>
        </w:rPr>
        <w:t xml:space="preserve"> better liquidity and fewer surprises during rollovers.</w:t>
      </w:r>
    </w:p>
    <w:p w14:paraId="309E1176" w14:textId="77777777" w:rsidR="00D02810" w:rsidRPr="00AB1182" w:rsidRDefault="00D02810" w:rsidP="00305B0C">
      <w:pPr>
        <w:pStyle w:val="ListParagraph"/>
        <w:numPr>
          <w:ilvl w:val="0"/>
          <w:numId w:val="6"/>
        </w:numPr>
        <w:spacing w:after="240" w:line="240" w:lineRule="auto"/>
        <w:jc w:val="both"/>
        <w:rPr>
          <w:rFonts w:cstheme="minorHAnsi"/>
          <w:sz w:val="24"/>
          <w:szCs w:val="24"/>
          <w:u w:val="single"/>
        </w:rPr>
      </w:pPr>
      <w:r w:rsidRPr="00AB1182">
        <w:rPr>
          <w:rFonts w:cstheme="minorHAnsi"/>
          <w:sz w:val="24"/>
          <w:szCs w:val="24"/>
          <w:u w:val="single"/>
        </w:rPr>
        <w:t>Strategic Adjustments:</w:t>
      </w:r>
    </w:p>
    <w:p w14:paraId="3B10A4DA" w14:textId="41F5BFF6" w:rsidR="00D02810" w:rsidRPr="00AB1182" w:rsidRDefault="33B2CFCB" w:rsidP="2A7B60E2">
      <w:pPr>
        <w:spacing w:after="240"/>
        <w:jc w:val="both"/>
        <w:rPr>
          <w:rFonts w:asciiTheme="minorHAnsi" w:hAnsiTheme="minorHAnsi" w:cstheme="minorBidi"/>
        </w:rPr>
      </w:pPr>
      <w:r w:rsidRPr="2A7B60E2">
        <w:rPr>
          <w:rFonts w:asciiTheme="minorHAnsi" w:hAnsiTheme="minorHAnsi" w:cstheme="minorBidi"/>
        </w:rPr>
        <w:t xml:space="preserve">2020: Companies had to be agile, </w:t>
      </w:r>
      <w:r w:rsidR="05A0C9AE" w:rsidRPr="2A7B60E2">
        <w:rPr>
          <w:rFonts w:asciiTheme="minorHAnsi" w:hAnsiTheme="minorHAnsi" w:cstheme="minorBidi"/>
        </w:rPr>
        <w:t>revising</w:t>
      </w:r>
      <w:r w:rsidRPr="2A7B60E2">
        <w:rPr>
          <w:rFonts w:asciiTheme="minorHAnsi" w:hAnsiTheme="minorHAnsi" w:cstheme="minorBidi"/>
        </w:rPr>
        <w:t xml:space="preserve"> their long-term contracts and storage strategies drastically. There was a need for innovative thinking to manage or mitigate unprecedented risks such as negative prices.</w:t>
      </w:r>
    </w:p>
    <w:p w14:paraId="08910688"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 xml:space="preserve">2022: With a more </w:t>
      </w:r>
      <w:proofErr w:type="gramStart"/>
      <w:r w:rsidRPr="00AB1182">
        <w:rPr>
          <w:rFonts w:asciiTheme="minorHAnsi" w:hAnsiTheme="minorHAnsi" w:cstheme="minorHAnsi"/>
        </w:rPr>
        <w:t>predictable</w:t>
      </w:r>
      <w:proofErr w:type="gramEnd"/>
      <w:r w:rsidRPr="00AB1182">
        <w:rPr>
          <w:rFonts w:asciiTheme="minorHAnsi" w:hAnsiTheme="minorHAnsi" w:cstheme="minorHAnsi"/>
        </w:rPr>
        <w:t xml:space="preserve"> albeit high-price environment, companies could return to more traditional risk management practices but remain vigilant about potential downturns in prices as indicated by the backwardation.</w:t>
      </w:r>
    </w:p>
    <w:p w14:paraId="3EB43FE3" w14:textId="77777777" w:rsidR="00D02810" w:rsidRPr="00AB1182" w:rsidRDefault="00D02810" w:rsidP="00305B0C">
      <w:pPr>
        <w:pStyle w:val="ListParagraph"/>
        <w:numPr>
          <w:ilvl w:val="0"/>
          <w:numId w:val="6"/>
        </w:numPr>
        <w:spacing w:after="240" w:line="240" w:lineRule="auto"/>
        <w:jc w:val="both"/>
        <w:rPr>
          <w:rFonts w:cstheme="minorHAnsi"/>
          <w:sz w:val="24"/>
          <w:szCs w:val="24"/>
          <w:u w:val="single"/>
        </w:rPr>
      </w:pPr>
      <w:r w:rsidRPr="00AB1182">
        <w:rPr>
          <w:rFonts w:cstheme="minorHAnsi"/>
          <w:sz w:val="24"/>
          <w:szCs w:val="24"/>
          <w:u w:val="single"/>
        </w:rPr>
        <w:t>Hedging Strategies:</w:t>
      </w:r>
    </w:p>
    <w:p w14:paraId="2403AEF3"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lastRenderedPageBreak/>
        <w:t>2020: Diverse and flexible hedging strategies were necessary to cope with the extreme market conditions. Options and swaps could have been more effective than futures alone.</w:t>
      </w:r>
    </w:p>
    <w:p w14:paraId="3C5B5EB1" w14:textId="77777777" w:rsidR="00D02810" w:rsidRPr="00AB1182" w:rsidRDefault="00D02810" w:rsidP="00305B0C">
      <w:pPr>
        <w:spacing w:after="240"/>
        <w:jc w:val="both"/>
        <w:rPr>
          <w:rFonts w:asciiTheme="minorHAnsi" w:hAnsiTheme="minorHAnsi" w:cstheme="minorHAnsi"/>
        </w:rPr>
      </w:pPr>
      <w:r w:rsidRPr="00AB1182">
        <w:rPr>
          <w:rFonts w:asciiTheme="minorHAnsi" w:hAnsiTheme="minorHAnsi" w:cstheme="minorHAnsi"/>
        </w:rPr>
        <w:t>2022: More straightforward hedging strategies could be used to lock in profits or protect against declines in prices, with a focus on optimizing the timing and selection of instruments due to backwardation.</w:t>
      </w:r>
    </w:p>
    <w:p w14:paraId="184C91E8" w14:textId="77777777" w:rsidR="00D02810" w:rsidRPr="00AB1182" w:rsidRDefault="33B2CFCB" w:rsidP="00305B0C">
      <w:pPr>
        <w:spacing w:after="240"/>
        <w:jc w:val="both"/>
        <w:rPr>
          <w:rFonts w:asciiTheme="minorHAnsi" w:hAnsiTheme="minorHAnsi" w:cstheme="minorHAnsi"/>
        </w:rPr>
      </w:pPr>
      <w:r w:rsidRPr="2A7B60E2">
        <w:rPr>
          <w:rFonts w:asciiTheme="minorHAnsi" w:hAnsiTheme="minorHAnsi" w:cstheme="minorBidi"/>
        </w:rPr>
        <w:t>Overall, the transition from extreme contango and negative prices in 2020 to a more traditional but high-priced backwardation market in 2022 shows how dynamic the oil market can be. Risk management practices must be equally dynamic, adapting to the changing market conditions to protect against losses and capitalize on opportunities.</w:t>
      </w:r>
    </w:p>
    <w:p w14:paraId="664CE8A3" w14:textId="7EE91E19" w:rsidR="45964A6D" w:rsidRDefault="45964A6D" w:rsidP="2A7B60E2">
      <w:pPr>
        <w:jc w:val="both"/>
      </w:pPr>
      <w:r>
        <w:rPr>
          <w:noProof/>
        </w:rPr>
        <w:drawing>
          <wp:inline distT="0" distB="0" distL="0" distR="0" wp14:anchorId="3A023BB3" wp14:editId="673393E2">
            <wp:extent cx="2587779" cy="1600615"/>
            <wp:effectExtent l="0" t="0" r="0" b="0"/>
            <wp:docPr id="1199223821" name="Picture 119922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87779" cy="1600615"/>
                    </a:xfrm>
                    <a:prstGeom prst="rect">
                      <a:avLst/>
                    </a:prstGeom>
                  </pic:spPr>
                </pic:pic>
              </a:graphicData>
            </a:graphic>
          </wp:inline>
        </w:drawing>
      </w:r>
      <w:r w:rsidR="18578EF2">
        <w:rPr>
          <w:noProof/>
        </w:rPr>
        <w:drawing>
          <wp:inline distT="0" distB="0" distL="0" distR="0" wp14:anchorId="496B4CEA" wp14:editId="64A05896">
            <wp:extent cx="2589499" cy="1601680"/>
            <wp:effectExtent l="0" t="0" r="0" b="0"/>
            <wp:docPr id="1217030341" name="Picture 121703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89499" cy="1601680"/>
                    </a:xfrm>
                    <a:prstGeom prst="rect">
                      <a:avLst/>
                    </a:prstGeom>
                  </pic:spPr>
                </pic:pic>
              </a:graphicData>
            </a:graphic>
          </wp:inline>
        </w:drawing>
      </w:r>
    </w:p>
    <w:p w14:paraId="10785977" w14:textId="49DEFC41" w:rsidR="2A7B60E2" w:rsidRDefault="2A7B60E2" w:rsidP="2A7B60E2">
      <w:pPr>
        <w:jc w:val="both"/>
      </w:pPr>
    </w:p>
    <w:p w14:paraId="63ABA1B8" w14:textId="36E16DDA" w:rsidR="2A7B60E2" w:rsidRDefault="2A7B60E2" w:rsidP="2A7B60E2">
      <w:pPr>
        <w:spacing w:after="240"/>
        <w:jc w:val="both"/>
        <w:rPr>
          <w:rFonts w:asciiTheme="minorHAnsi" w:hAnsiTheme="minorHAnsi" w:cstheme="minorBidi"/>
        </w:rPr>
      </w:pPr>
    </w:p>
    <w:p w14:paraId="4C863072" w14:textId="77777777" w:rsidR="00D02810" w:rsidRPr="00AB1182" w:rsidRDefault="00D02810" w:rsidP="00305B0C">
      <w:pPr>
        <w:spacing w:after="240"/>
        <w:jc w:val="both"/>
        <w:rPr>
          <w:rFonts w:asciiTheme="minorHAnsi" w:hAnsiTheme="minorHAnsi" w:cstheme="minorHAnsi"/>
        </w:rPr>
      </w:pPr>
    </w:p>
    <w:p w14:paraId="4D4337B2" w14:textId="05DABA6D" w:rsidR="00DC6164" w:rsidRDefault="00DC6164" w:rsidP="2A7B60E2">
      <w:pPr>
        <w:spacing w:after="240"/>
        <w:rPr>
          <w:rFonts w:asciiTheme="minorHAnsi" w:hAnsiTheme="minorHAnsi" w:cstheme="minorBidi"/>
          <w:kern w:val="32"/>
        </w:rPr>
      </w:pPr>
    </w:p>
    <w:p w14:paraId="36D26487" w14:textId="417F5741" w:rsidR="001444DC" w:rsidRPr="00AB1182" w:rsidRDefault="00C03FC4" w:rsidP="00305B0C">
      <w:pPr>
        <w:pStyle w:val="Heading1"/>
        <w:rPr>
          <w:rFonts w:asciiTheme="minorHAnsi" w:hAnsiTheme="minorHAnsi" w:cstheme="minorHAnsi"/>
        </w:rPr>
      </w:pPr>
      <w:r w:rsidRPr="00AB1182">
        <w:rPr>
          <w:rFonts w:asciiTheme="minorHAnsi" w:hAnsiTheme="minorHAnsi" w:cstheme="minorHAnsi"/>
        </w:rPr>
        <w:t>References</w:t>
      </w:r>
      <w:r w:rsidR="001444DC" w:rsidRPr="00AB1182">
        <w:rPr>
          <w:rFonts w:asciiTheme="minorHAnsi" w:hAnsiTheme="minorHAnsi" w:cstheme="minorHAnsi"/>
        </w:rPr>
        <w:t xml:space="preserve"> </w:t>
      </w:r>
    </w:p>
    <w:p w14:paraId="40675241" w14:textId="717F3FDF" w:rsidR="001444DC" w:rsidRPr="00AB1182" w:rsidRDefault="001444DC" w:rsidP="00305B0C">
      <w:pPr>
        <w:spacing w:before="100" w:beforeAutospacing="1" w:after="100" w:afterAutospacing="1"/>
        <w:ind w:left="567" w:hanging="567"/>
        <w:jc w:val="both"/>
        <w:rPr>
          <w:rFonts w:asciiTheme="minorHAnsi" w:hAnsiTheme="minorHAnsi" w:cstheme="minorHAnsi"/>
          <w:lang w:eastAsia="en-IN"/>
        </w:rPr>
      </w:pPr>
      <w:r w:rsidRPr="00AB1182">
        <w:rPr>
          <w:rFonts w:asciiTheme="minorHAnsi" w:hAnsiTheme="minorHAnsi" w:cstheme="minorHAnsi"/>
          <w:i/>
          <w:iCs/>
          <w:lang w:eastAsia="en-IN"/>
        </w:rPr>
        <w:t xml:space="preserve"> Arbitrage breakdown in WTI crude oil futures: An analysis of the events on April 20, 2020</w:t>
      </w:r>
      <w:r w:rsidRPr="00AB1182">
        <w:rPr>
          <w:rFonts w:asciiTheme="minorHAnsi" w:hAnsiTheme="minorHAnsi" w:cstheme="minorHAnsi"/>
          <w:lang w:eastAsia="en-IN"/>
        </w:rPr>
        <w:t xml:space="preserve"> (no date) </w:t>
      </w:r>
      <w:r w:rsidRPr="00AB1182">
        <w:rPr>
          <w:rFonts w:asciiTheme="minorHAnsi" w:hAnsiTheme="minorHAnsi" w:cstheme="minorHAnsi"/>
          <w:i/>
          <w:iCs/>
          <w:lang w:eastAsia="en-IN"/>
        </w:rPr>
        <w:t>CFTC</w:t>
      </w:r>
      <w:r w:rsidRPr="00AB1182">
        <w:rPr>
          <w:rFonts w:asciiTheme="minorHAnsi" w:hAnsiTheme="minorHAnsi" w:cstheme="minorHAnsi"/>
          <w:lang w:eastAsia="en-IN"/>
        </w:rPr>
        <w:t xml:space="preserve">. Available at: https://www.cftc.gov/node/240446 (Accessed: 12 May 2024). </w:t>
      </w:r>
    </w:p>
    <w:p w14:paraId="56CB5ED4" w14:textId="577505D2" w:rsidR="001444DC" w:rsidRPr="00AB1182" w:rsidRDefault="001444DC" w:rsidP="00305B0C">
      <w:pPr>
        <w:spacing w:before="100" w:beforeAutospacing="1" w:after="100" w:afterAutospacing="1"/>
        <w:ind w:left="567" w:hanging="567"/>
        <w:jc w:val="both"/>
        <w:rPr>
          <w:rFonts w:asciiTheme="minorHAnsi" w:hAnsiTheme="minorHAnsi" w:cstheme="minorHAnsi"/>
          <w:lang w:eastAsia="en-IN"/>
        </w:rPr>
      </w:pPr>
      <w:proofErr w:type="spellStart"/>
      <w:r w:rsidRPr="00AB1182">
        <w:rPr>
          <w:rFonts w:asciiTheme="minorHAnsi" w:hAnsiTheme="minorHAnsi" w:cstheme="minorHAnsi"/>
          <w:lang w:eastAsia="en-IN"/>
        </w:rPr>
        <w:t>EustanceHuang</w:t>
      </w:r>
      <w:proofErr w:type="spellEnd"/>
      <w:r w:rsidRPr="00AB1182">
        <w:rPr>
          <w:rFonts w:asciiTheme="minorHAnsi" w:hAnsiTheme="minorHAnsi" w:cstheme="minorHAnsi"/>
          <w:lang w:eastAsia="en-IN"/>
        </w:rPr>
        <w:t xml:space="preserve"> (2020) </w:t>
      </w:r>
      <w:r w:rsidRPr="00AB1182">
        <w:rPr>
          <w:rFonts w:asciiTheme="minorHAnsi" w:hAnsiTheme="minorHAnsi" w:cstheme="minorHAnsi"/>
          <w:i/>
          <w:iCs/>
          <w:lang w:eastAsia="en-IN"/>
        </w:rPr>
        <w:t>An oil futures contract expiring Tuesday went negative in bizarre move showing a demand collapse</w:t>
      </w:r>
      <w:r w:rsidRPr="00AB1182">
        <w:rPr>
          <w:rFonts w:asciiTheme="minorHAnsi" w:hAnsiTheme="minorHAnsi" w:cstheme="minorHAnsi"/>
          <w:lang w:eastAsia="en-IN"/>
        </w:rPr>
        <w:t xml:space="preserve">, </w:t>
      </w:r>
      <w:r w:rsidRPr="00AB1182">
        <w:rPr>
          <w:rFonts w:asciiTheme="minorHAnsi" w:hAnsiTheme="minorHAnsi" w:cstheme="minorHAnsi"/>
          <w:i/>
          <w:iCs/>
          <w:lang w:eastAsia="en-IN"/>
        </w:rPr>
        <w:t>CNBC</w:t>
      </w:r>
      <w:r w:rsidRPr="00AB1182">
        <w:rPr>
          <w:rFonts w:asciiTheme="minorHAnsi" w:hAnsiTheme="minorHAnsi" w:cstheme="minorHAnsi"/>
          <w:lang w:eastAsia="en-IN"/>
        </w:rPr>
        <w:t xml:space="preserve">. Available at: https://www.cnbc.com/2020/04/20/oil-markets-us-crude-futures-in-focus-as-coronavirus-dents-demand.html (Accessed: 12 May 2024). </w:t>
      </w:r>
    </w:p>
    <w:p w14:paraId="5301D557" w14:textId="3F6D2E84" w:rsidR="001444DC" w:rsidRDefault="001444DC" w:rsidP="00305B0C">
      <w:pPr>
        <w:spacing w:before="100" w:beforeAutospacing="1" w:after="100" w:afterAutospacing="1"/>
        <w:ind w:left="567" w:hanging="567"/>
        <w:jc w:val="both"/>
        <w:rPr>
          <w:rFonts w:asciiTheme="minorHAnsi" w:hAnsiTheme="minorHAnsi" w:cstheme="minorHAnsi"/>
          <w:lang w:eastAsia="en-IN"/>
        </w:rPr>
      </w:pPr>
      <w:r w:rsidRPr="00AB1182">
        <w:rPr>
          <w:rFonts w:asciiTheme="minorHAnsi" w:hAnsiTheme="minorHAnsi" w:cstheme="minorHAnsi"/>
          <w:i/>
          <w:iCs/>
          <w:lang w:eastAsia="en-IN"/>
        </w:rPr>
        <w:t xml:space="preserve">Final word </w:t>
      </w:r>
      <w:proofErr w:type="gramStart"/>
      <w:r w:rsidRPr="00AB1182">
        <w:rPr>
          <w:rFonts w:asciiTheme="minorHAnsi" w:hAnsiTheme="minorHAnsi" w:cstheme="minorHAnsi"/>
          <w:i/>
          <w:iCs/>
          <w:lang w:eastAsia="en-IN"/>
        </w:rPr>
        <w:t>on</w:t>
      </w:r>
      <w:proofErr w:type="gramEnd"/>
      <w:r w:rsidRPr="00AB1182">
        <w:rPr>
          <w:rFonts w:asciiTheme="minorHAnsi" w:hAnsiTheme="minorHAnsi" w:cstheme="minorHAnsi"/>
          <w:i/>
          <w:iCs/>
          <w:lang w:eastAsia="en-IN"/>
        </w:rPr>
        <w:t xml:space="preserve"> April 2020 negative oil price unspoken</w:t>
      </w:r>
      <w:r w:rsidRPr="00AB1182">
        <w:rPr>
          <w:rFonts w:asciiTheme="minorHAnsi" w:hAnsiTheme="minorHAnsi" w:cstheme="minorHAnsi"/>
          <w:lang w:eastAsia="en-IN"/>
        </w:rPr>
        <w:t xml:space="preserve"> (2021) </w:t>
      </w:r>
      <w:r w:rsidRPr="00AB1182">
        <w:rPr>
          <w:rFonts w:asciiTheme="minorHAnsi" w:hAnsiTheme="minorHAnsi" w:cstheme="minorHAnsi"/>
          <w:i/>
          <w:iCs/>
          <w:lang w:eastAsia="en-IN"/>
        </w:rPr>
        <w:t>Latest Market News</w:t>
      </w:r>
      <w:r w:rsidRPr="00AB1182">
        <w:rPr>
          <w:rFonts w:asciiTheme="minorHAnsi" w:hAnsiTheme="minorHAnsi" w:cstheme="minorHAnsi"/>
          <w:lang w:eastAsia="en-IN"/>
        </w:rPr>
        <w:t xml:space="preserve">. Available at: https://www.argusmedia.com/en/news-and-insights/latest-market-news/2206716-final-word-on-april-2020-negative-oil-price-unspoken (Accessed: 12 May 2024). </w:t>
      </w:r>
    </w:p>
    <w:p w14:paraId="6B055984" w14:textId="2EB2CE4A" w:rsidR="00A33633" w:rsidRPr="005A2208" w:rsidRDefault="00A33633" w:rsidP="00A33633">
      <w:pPr>
        <w:pStyle w:val="NormalWeb"/>
        <w:ind w:left="567" w:hanging="567"/>
        <w:jc w:val="both"/>
        <w:rPr>
          <w:rFonts w:asciiTheme="minorHAnsi" w:hAnsiTheme="minorHAnsi" w:cstheme="minorHAnsi"/>
        </w:rPr>
      </w:pPr>
      <w:r w:rsidRPr="00AB1182">
        <w:rPr>
          <w:rFonts w:asciiTheme="minorHAnsi" w:hAnsiTheme="minorHAnsi" w:cstheme="minorHAnsi"/>
          <w:i/>
          <w:iCs/>
        </w:rPr>
        <w:t>Home</w:t>
      </w:r>
      <w:r w:rsidRPr="00AB1182">
        <w:rPr>
          <w:rFonts w:asciiTheme="minorHAnsi" w:hAnsiTheme="minorHAnsi" w:cstheme="minorHAnsi"/>
        </w:rPr>
        <w:t xml:space="preserve"> (no date) </w:t>
      </w:r>
      <w:r w:rsidRPr="00AB1182">
        <w:rPr>
          <w:rFonts w:asciiTheme="minorHAnsi" w:hAnsiTheme="minorHAnsi" w:cstheme="minorHAnsi"/>
          <w:i/>
          <w:iCs/>
        </w:rPr>
        <w:t xml:space="preserve">IIFL Knowledge </w:t>
      </w:r>
      <w:proofErr w:type="spellStart"/>
      <w:r w:rsidRPr="00AB1182">
        <w:rPr>
          <w:rFonts w:asciiTheme="minorHAnsi" w:hAnsiTheme="minorHAnsi" w:cstheme="minorHAnsi"/>
          <w:i/>
          <w:iCs/>
        </w:rPr>
        <w:t>Center</w:t>
      </w:r>
      <w:proofErr w:type="spellEnd"/>
      <w:r w:rsidRPr="00AB1182">
        <w:rPr>
          <w:rFonts w:asciiTheme="minorHAnsi" w:hAnsiTheme="minorHAnsi" w:cstheme="minorHAnsi"/>
        </w:rPr>
        <w:t>. Available at: https://www.indiainfoline.com/knowledge-center/derivatives/what-is-a-super-</w:t>
      </w:r>
      <w:r w:rsidRPr="005A2208">
        <w:rPr>
          <w:rFonts w:asciiTheme="minorHAnsi" w:hAnsiTheme="minorHAnsi" w:cstheme="minorHAnsi"/>
        </w:rPr>
        <w:t xml:space="preserve">contango-in-the-futures-market (Accessed: 12 May 2024). </w:t>
      </w:r>
    </w:p>
    <w:p w14:paraId="5B1C978A" w14:textId="1CF21F10" w:rsidR="005A2208" w:rsidRPr="005A2208" w:rsidRDefault="005A2208" w:rsidP="005A2208">
      <w:pPr>
        <w:rPr>
          <w:rFonts w:asciiTheme="minorHAnsi" w:hAnsiTheme="minorHAnsi" w:cstheme="minorHAnsi"/>
          <w:lang w:val="en-AU" w:eastAsia="en-AU"/>
        </w:rPr>
      </w:pPr>
      <w:r w:rsidRPr="005A2208">
        <w:rPr>
          <w:rFonts w:asciiTheme="minorHAnsi" w:hAnsiTheme="minorHAnsi" w:cstheme="minorHAnsi"/>
        </w:rPr>
        <w:t xml:space="preserve">Hull, J. C. (2021). </w:t>
      </w:r>
      <w:r w:rsidRPr="005A2208">
        <w:rPr>
          <w:rFonts w:asciiTheme="minorHAnsi" w:hAnsiTheme="minorHAnsi" w:cstheme="minorHAnsi"/>
          <w:i/>
          <w:iCs/>
        </w:rPr>
        <w:t>Options, futures, and other derivatives</w:t>
      </w:r>
      <w:r w:rsidRPr="005A2208">
        <w:rPr>
          <w:rFonts w:asciiTheme="minorHAnsi" w:hAnsiTheme="minorHAnsi" w:cstheme="minorHAnsi"/>
        </w:rPr>
        <w:t xml:space="preserve"> (Global edition.). Pearson Education.</w:t>
      </w:r>
    </w:p>
    <w:p w14:paraId="08623AC8" w14:textId="5A9E6700" w:rsidR="001444DC" w:rsidRPr="00AB1182" w:rsidRDefault="001444DC" w:rsidP="00305B0C">
      <w:pPr>
        <w:spacing w:before="100" w:beforeAutospacing="1" w:after="100" w:afterAutospacing="1"/>
        <w:ind w:left="567" w:hanging="567"/>
        <w:jc w:val="both"/>
        <w:rPr>
          <w:rFonts w:asciiTheme="minorHAnsi" w:hAnsiTheme="minorHAnsi" w:cstheme="minorHAnsi"/>
          <w:lang w:eastAsia="en-IN"/>
        </w:rPr>
      </w:pPr>
      <w:r w:rsidRPr="00AB1182">
        <w:rPr>
          <w:rFonts w:asciiTheme="minorHAnsi" w:hAnsiTheme="minorHAnsi" w:cstheme="minorHAnsi"/>
          <w:lang w:eastAsia="en-IN"/>
        </w:rPr>
        <w:lastRenderedPageBreak/>
        <w:t xml:space="preserve">Johnston, M. (no date) </w:t>
      </w:r>
      <w:r w:rsidRPr="00AB1182">
        <w:rPr>
          <w:rFonts w:asciiTheme="minorHAnsi" w:hAnsiTheme="minorHAnsi" w:cstheme="minorHAnsi"/>
          <w:i/>
          <w:iCs/>
          <w:lang w:eastAsia="en-IN"/>
        </w:rPr>
        <w:t>What happened to oil prices in 2020</w:t>
      </w:r>
      <w:r w:rsidRPr="00AB1182">
        <w:rPr>
          <w:rFonts w:asciiTheme="minorHAnsi" w:hAnsiTheme="minorHAnsi" w:cstheme="minorHAnsi"/>
          <w:lang w:eastAsia="en-IN"/>
        </w:rPr>
        <w:t xml:space="preserve">, </w:t>
      </w:r>
      <w:r w:rsidRPr="00AB1182">
        <w:rPr>
          <w:rFonts w:asciiTheme="minorHAnsi" w:hAnsiTheme="minorHAnsi" w:cstheme="minorHAnsi"/>
          <w:i/>
          <w:iCs/>
          <w:lang w:eastAsia="en-IN"/>
        </w:rPr>
        <w:t>Investopedia</w:t>
      </w:r>
      <w:r w:rsidRPr="00AB1182">
        <w:rPr>
          <w:rFonts w:asciiTheme="minorHAnsi" w:hAnsiTheme="minorHAnsi" w:cstheme="minorHAnsi"/>
          <w:lang w:eastAsia="en-IN"/>
        </w:rPr>
        <w:t xml:space="preserve">. Available at: https://www.investopedia.com/articles/investing/100615/will-oil-prices-go-2017.asp (Accessed: 12 May 2024). </w:t>
      </w:r>
    </w:p>
    <w:p w14:paraId="3117187D" w14:textId="7C8F82BE" w:rsidR="001444DC" w:rsidRDefault="001444DC" w:rsidP="00305B0C">
      <w:pPr>
        <w:spacing w:before="100" w:beforeAutospacing="1" w:after="100" w:afterAutospacing="1"/>
        <w:ind w:left="567" w:hanging="567"/>
        <w:jc w:val="both"/>
        <w:rPr>
          <w:rFonts w:asciiTheme="minorHAnsi" w:hAnsiTheme="minorHAnsi" w:cstheme="minorHAnsi"/>
          <w:lang w:eastAsia="en-IN"/>
        </w:rPr>
      </w:pPr>
      <w:r w:rsidRPr="00AB1182">
        <w:rPr>
          <w:rFonts w:asciiTheme="minorHAnsi" w:hAnsiTheme="minorHAnsi" w:cstheme="minorHAnsi"/>
          <w:i/>
          <w:iCs/>
          <w:lang w:eastAsia="en-IN"/>
        </w:rPr>
        <w:t>Release number 8315-20</w:t>
      </w:r>
      <w:r w:rsidRPr="00AB1182">
        <w:rPr>
          <w:rFonts w:asciiTheme="minorHAnsi" w:hAnsiTheme="minorHAnsi" w:cstheme="minorHAnsi"/>
          <w:lang w:eastAsia="en-IN"/>
        </w:rPr>
        <w:t xml:space="preserve"> (no date) </w:t>
      </w:r>
      <w:r w:rsidRPr="00AB1182">
        <w:rPr>
          <w:rFonts w:asciiTheme="minorHAnsi" w:hAnsiTheme="minorHAnsi" w:cstheme="minorHAnsi"/>
          <w:i/>
          <w:iCs/>
          <w:lang w:eastAsia="en-IN"/>
        </w:rPr>
        <w:t>CFTC</w:t>
      </w:r>
      <w:r w:rsidRPr="00AB1182">
        <w:rPr>
          <w:rFonts w:asciiTheme="minorHAnsi" w:hAnsiTheme="minorHAnsi" w:cstheme="minorHAnsi"/>
          <w:lang w:eastAsia="en-IN"/>
        </w:rPr>
        <w:t xml:space="preserve">. Available at: https://www.cftc.gov/PressRoom/PressReleases/8315-20 (Accessed: 12 May 2024). </w:t>
      </w:r>
    </w:p>
    <w:p w14:paraId="097DF4FB" w14:textId="14282F89" w:rsidR="00FF4BB6" w:rsidRPr="00FF4BB6" w:rsidRDefault="00FF4BB6" w:rsidP="00305B0C">
      <w:pPr>
        <w:spacing w:before="100" w:beforeAutospacing="1" w:after="100" w:afterAutospacing="1"/>
        <w:ind w:left="567" w:hanging="567"/>
        <w:jc w:val="both"/>
        <w:rPr>
          <w:rFonts w:asciiTheme="minorHAnsi" w:hAnsiTheme="minorHAnsi" w:cstheme="minorHAnsi"/>
          <w:lang w:eastAsia="en-IN"/>
        </w:rPr>
      </w:pPr>
      <w:r w:rsidRPr="00FF4BB6">
        <w:rPr>
          <w:rFonts w:asciiTheme="minorHAnsi" w:hAnsiTheme="minorHAnsi" w:cstheme="minorHAnsi"/>
          <w:color w:val="000000"/>
          <w:shd w:val="clear" w:color="auto" w:fill="FFFFFF"/>
        </w:rPr>
        <w:t>Turner, P. A., &amp; Lim, S. H. (2015). Hedging jet fuel price risk: The case of U.S. passenger airlines. </w:t>
      </w:r>
      <w:r w:rsidRPr="00FF4BB6">
        <w:rPr>
          <w:rStyle w:val="Emphasis"/>
          <w:rFonts w:asciiTheme="minorHAnsi" w:hAnsiTheme="minorHAnsi" w:cstheme="minorHAnsi"/>
          <w:color w:val="000000"/>
          <w:shd w:val="clear" w:color="auto" w:fill="FFFFFF"/>
        </w:rPr>
        <w:t>Journal of Air Transport Management</w:t>
      </w:r>
      <w:r w:rsidRPr="00FF4BB6">
        <w:rPr>
          <w:rFonts w:asciiTheme="minorHAnsi" w:hAnsiTheme="minorHAnsi" w:cstheme="minorHAnsi"/>
          <w:color w:val="000000"/>
          <w:shd w:val="clear" w:color="auto" w:fill="FFFFFF"/>
        </w:rPr>
        <w:t>, </w:t>
      </w:r>
      <w:r w:rsidRPr="00FF4BB6">
        <w:rPr>
          <w:rStyle w:val="Emphasis"/>
          <w:rFonts w:asciiTheme="minorHAnsi" w:hAnsiTheme="minorHAnsi" w:cstheme="minorHAnsi"/>
          <w:color w:val="000000"/>
          <w:shd w:val="clear" w:color="auto" w:fill="FFFFFF"/>
        </w:rPr>
        <w:t>44-45</w:t>
      </w:r>
      <w:r w:rsidRPr="00FF4BB6">
        <w:rPr>
          <w:rFonts w:asciiTheme="minorHAnsi" w:hAnsiTheme="minorHAnsi" w:cstheme="minorHAnsi"/>
          <w:color w:val="000000"/>
          <w:shd w:val="clear" w:color="auto" w:fill="FFFFFF"/>
        </w:rPr>
        <w:t>, 54-64. </w:t>
      </w:r>
      <w:hyperlink r:id="rId12" w:history="1">
        <w:r w:rsidRPr="00FF4BB6">
          <w:rPr>
            <w:rStyle w:val="Hyperlink"/>
            <w:rFonts w:asciiTheme="minorHAnsi" w:hAnsiTheme="minorHAnsi" w:cstheme="minorHAnsi"/>
            <w:color w:val="000000"/>
            <w:shd w:val="clear" w:color="auto" w:fill="FFFFFF"/>
          </w:rPr>
          <w:t>https://doi.org/10.1016/j.jairtraman.2015.02.007</w:t>
        </w:r>
      </w:hyperlink>
    </w:p>
    <w:p w14:paraId="1C84CFE9" w14:textId="77777777" w:rsidR="001444DC" w:rsidRPr="00AB1182" w:rsidRDefault="001444DC" w:rsidP="00305B0C">
      <w:pPr>
        <w:spacing w:before="100" w:beforeAutospacing="1" w:after="100" w:afterAutospacing="1"/>
        <w:ind w:left="567" w:hanging="567"/>
        <w:jc w:val="both"/>
        <w:rPr>
          <w:rFonts w:asciiTheme="minorHAnsi" w:hAnsiTheme="minorHAnsi" w:cstheme="minorHAnsi"/>
          <w:lang w:eastAsia="en-IN"/>
        </w:rPr>
      </w:pPr>
      <w:r w:rsidRPr="00AB1182">
        <w:rPr>
          <w:rFonts w:asciiTheme="minorHAnsi" w:hAnsiTheme="minorHAnsi" w:cstheme="minorHAnsi"/>
          <w:i/>
          <w:iCs/>
          <w:lang w:eastAsia="en-IN"/>
        </w:rPr>
        <w:t xml:space="preserve">Word </w:t>
      </w:r>
      <w:proofErr w:type="gramStart"/>
      <w:r w:rsidRPr="00AB1182">
        <w:rPr>
          <w:rFonts w:asciiTheme="minorHAnsi" w:hAnsiTheme="minorHAnsi" w:cstheme="minorHAnsi"/>
          <w:i/>
          <w:iCs/>
          <w:lang w:eastAsia="en-IN"/>
        </w:rPr>
        <w:t>on</w:t>
      </w:r>
      <w:proofErr w:type="gramEnd"/>
      <w:r w:rsidRPr="00AB1182">
        <w:rPr>
          <w:rFonts w:asciiTheme="minorHAnsi" w:hAnsiTheme="minorHAnsi" w:cstheme="minorHAnsi"/>
          <w:i/>
          <w:iCs/>
          <w:lang w:eastAsia="en-IN"/>
        </w:rPr>
        <w:t xml:space="preserve"> April 2020 negative oil price unspoken</w:t>
      </w:r>
      <w:r w:rsidRPr="00AB1182">
        <w:rPr>
          <w:rFonts w:asciiTheme="minorHAnsi" w:hAnsiTheme="minorHAnsi" w:cstheme="minorHAnsi"/>
          <w:lang w:eastAsia="en-IN"/>
        </w:rPr>
        <w:t xml:space="preserve">. Latest Market News. (2021, April 19). https://www.argusmedia.com/en/news-and-insights/latest-market-news/2206716-final-word-on-april-2020-negative-oil-price-unspoken </w:t>
      </w:r>
    </w:p>
    <w:sectPr w:rsidR="001444DC" w:rsidRPr="00AB1182" w:rsidSect="00146B77">
      <w:headerReference w:type="default" r:id="rId13"/>
      <w:footerReference w:type="default" r:id="rId14"/>
      <w:pgSz w:w="11909" w:h="16834" w:code="9"/>
      <w:pgMar w:top="1134"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3AAF" w14:textId="77777777" w:rsidR="00285D5D" w:rsidRDefault="00285D5D" w:rsidP="00593738">
      <w:r>
        <w:separator/>
      </w:r>
    </w:p>
  </w:endnote>
  <w:endnote w:type="continuationSeparator" w:id="0">
    <w:p w14:paraId="07F2EE20" w14:textId="77777777" w:rsidR="00285D5D" w:rsidRDefault="00285D5D" w:rsidP="00593738">
      <w:r>
        <w:continuationSeparator/>
      </w:r>
    </w:p>
  </w:endnote>
  <w:endnote w:type="continuationNotice" w:id="1">
    <w:p w14:paraId="30461450" w14:textId="77777777" w:rsidR="00285D5D" w:rsidRDefault="00285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N-Regular">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D82C" w14:textId="77777777" w:rsidR="00593738" w:rsidRDefault="005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58AC" w14:textId="77777777" w:rsidR="00285D5D" w:rsidRDefault="00285D5D" w:rsidP="00593738">
      <w:r>
        <w:separator/>
      </w:r>
    </w:p>
  </w:footnote>
  <w:footnote w:type="continuationSeparator" w:id="0">
    <w:p w14:paraId="609D0178" w14:textId="77777777" w:rsidR="00285D5D" w:rsidRDefault="00285D5D" w:rsidP="00593738">
      <w:r>
        <w:continuationSeparator/>
      </w:r>
    </w:p>
  </w:footnote>
  <w:footnote w:type="continuationNotice" w:id="1">
    <w:p w14:paraId="0FD17CE4" w14:textId="77777777" w:rsidR="00285D5D" w:rsidRDefault="00285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79FE" w14:textId="77777777" w:rsidR="00593738" w:rsidRDefault="00593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755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751CA"/>
    <w:multiLevelType w:val="hybridMultilevel"/>
    <w:tmpl w:val="00BEE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45A5D"/>
    <w:multiLevelType w:val="hybridMultilevel"/>
    <w:tmpl w:val="E584B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9241CC"/>
    <w:multiLevelType w:val="hybridMultilevel"/>
    <w:tmpl w:val="87565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0619D0"/>
    <w:multiLevelType w:val="hybridMultilevel"/>
    <w:tmpl w:val="5D58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467D11"/>
    <w:multiLevelType w:val="hybridMultilevel"/>
    <w:tmpl w:val="8F34565E"/>
    <w:lvl w:ilvl="0" w:tplc="732610FA">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7912A9"/>
    <w:multiLevelType w:val="hybridMultilevel"/>
    <w:tmpl w:val="F1B69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3D6E14"/>
    <w:multiLevelType w:val="hybridMultilevel"/>
    <w:tmpl w:val="6748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1A7E73"/>
    <w:multiLevelType w:val="hybridMultilevel"/>
    <w:tmpl w:val="850E0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6F324C"/>
    <w:multiLevelType w:val="hybridMultilevel"/>
    <w:tmpl w:val="89CCD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68189F"/>
    <w:multiLevelType w:val="hybridMultilevel"/>
    <w:tmpl w:val="448AC652"/>
    <w:lvl w:ilvl="0" w:tplc="C21EAEB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424C7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82912EB"/>
    <w:multiLevelType w:val="hybridMultilevel"/>
    <w:tmpl w:val="D43CB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9611253">
    <w:abstractNumId w:val="5"/>
  </w:num>
  <w:num w:numId="2" w16cid:durableId="1819809474">
    <w:abstractNumId w:val="6"/>
  </w:num>
  <w:num w:numId="3" w16cid:durableId="798645538">
    <w:abstractNumId w:val="4"/>
  </w:num>
  <w:num w:numId="4" w16cid:durableId="547106277">
    <w:abstractNumId w:val="9"/>
  </w:num>
  <w:num w:numId="5" w16cid:durableId="1760564103">
    <w:abstractNumId w:val="7"/>
  </w:num>
  <w:num w:numId="6" w16cid:durableId="1314334911">
    <w:abstractNumId w:val="8"/>
  </w:num>
  <w:num w:numId="7" w16cid:durableId="651297240">
    <w:abstractNumId w:val="11"/>
  </w:num>
  <w:num w:numId="8" w16cid:durableId="1903440352">
    <w:abstractNumId w:val="0"/>
  </w:num>
  <w:num w:numId="9" w16cid:durableId="164828517">
    <w:abstractNumId w:val="12"/>
  </w:num>
  <w:num w:numId="10" w16cid:durableId="1110930794">
    <w:abstractNumId w:val="3"/>
  </w:num>
  <w:num w:numId="11" w16cid:durableId="698773321">
    <w:abstractNumId w:val="1"/>
  </w:num>
  <w:num w:numId="12" w16cid:durableId="1812551361">
    <w:abstractNumId w:val="10"/>
  </w:num>
  <w:num w:numId="13" w16cid:durableId="153696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9C"/>
    <w:rsid w:val="000002C6"/>
    <w:rsid w:val="0000362B"/>
    <w:rsid w:val="00013A5F"/>
    <w:rsid w:val="0001402C"/>
    <w:rsid w:val="00017DD4"/>
    <w:rsid w:val="00020B66"/>
    <w:rsid w:val="000267E8"/>
    <w:rsid w:val="0002712F"/>
    <w:rsid w:val="000271CB"/>
    <w:rsid w:val="000335F7"/>
    <w:rsid w:val="00040A56"/>
    <w:rsid w:val="000417FD"/>
    <w:rsid w:val="00043BE5"/>
    <w:rsid w:val="00046903"/>
    <w:rsid w:val="00054672"/>
    <w:rsid w:val="000551F6"/>
    <w:rsid w:val="0006186B"/>
    <w:rsid w:val="00062E33"/>
    <w:rsid w:val="00070FD1"/>
    <w:rsid w:val="0007275E"/>
    <w:rsid w:val="000761B0"/>
    <w:rsid w:val="00076E00"/>
    <w:rsid w:val="000774C9"/>
    <w:rsid w:val="0007763F"/>
    <w:rsid w:val="00080C2B"/>
    <w:rsid w:val="00081B68"/>
    <w:rsid w:val="00084078"/>
    <w:rsid w:val="00084F0A"/>
    <w:rsid w:val="000858D3"/>
    <w:rsid w:val="0008631B"/>
    <w:rsid w:val="0009365E"/>
    <w:rsid w:val="00093F01"/>
    <w:rsid w:val="000A0928"/>
    <w:rsid w:val="000A1687"/>
    <w:rsid w:val="000A723B"/>
    <w:rsid w:val="000A7D42"/>
    <w:rsid w:val="000B6090"/>
    <w:rsid w:val="000C469C"/>
    <w:rsid w:val="000C4D7D"/>
    <w:rsid w:val="000C5DB6"/>
    <w:rsid w:val="000C7CFD"/>
    <w:rsid w:val="000D382E"/>
    <w:rsid w:val="000E3B80"/>
    <w:rsid w:val="000E50F7"/>
    <w:rsid w:val="000E7994"/>
    <w:rsid w:val="000F0C10"/>
    <w:rsid w:val="000F26C4"/>
    <w:rsid w:val="000F3BB6"/>
    <w:rsid w:val="000F6E60"/>
    <w:rsid w:val="00102D13"/>
    <w:rsid w:val="001043A8"/>
    <w:rsid w:val="00105037"/>
    <w:rsid w:val="00113B36"/>
    <w:rsid w:val="00113B6D"/>
    <w:rsid w:val="0011434E"/>
    <w:rsid w:val="00127B64"/>
    <w:rsid w:val="001301CD"/>
    <w:rsid w:val="00132331"/>
    <w:rsid w:val="00132A1B"/>
    <w:rsid w:val="00141797"/>
    <w:rsid w:val="00143E4B"/>
    <w:rsid w:val="001444DC"/>
    <w:rsid w:val="00146B77"/>
    <w:rsid w:val="00146CC1"/>
    <w:rsid w:val="001505FE"/>
    <w:rsid w:val="00155316"/>
    <w:rsid w:val="0015785A"/>
    <w:rsid w:val="00161655"/>
    <w:rsid w:val="00171D3F"/>
    <w:rsid w:val="00173D6B"/>
    <w:rsid w:val="00180D8F"/>
    <w:rsid w:val="00183392"/>
    <w:rsid w:val="0018379D"/>
    <w:rsid w:val="00183E44"/>
    <w:rsid w:val="0019271C"/>
    <w:rsid w:val="00194F8E"/>
    <w:rsid w:val="00195B04"/>
    <w:rsid w:val="001A2319"/>
    <w:rsid w:val="001A2C01"/>
    <w:rsid w:val="001A5BDF"/>
    <w:rsid w:val="001A5DBA"/>
    <w:rsid w:val="001A65F0"/>
    <w:rsid w:val="001B072E"/>
    <w:rsid w:val="001B11CC"/>
    <w:rsid w:val="001B4FC9"/>
    <w:rsid w:val="001B7086"/>
    <w:rsid w:val="001C26DD"/>
    <w:rsid w:val="001C4318"/>
    <w:rsid w:val="001C78A2"/>
    <w:rsid w:val="001D2B40"/>
    <w:rsid w:val="001D7128"/>
    <w:rsid w:val="001E1022"/>
    <w:rsid w:val="001E320E"/>
    <w:rsid w:val="001E340A"/>
    <w:rsid w:val="001E3560"/>
    <w:rsid w:val="001E4457"/>
    <w:rsid w:val="001E4A4E"/>
    <w:rsid w:val="001E5E3E"/>
    <w:rsid w:val="001E602C"/>
    <w:rsid w:val="001F4C76"/>
    <w:rsid w:val="001F5FE0"/>
    <w:rsid w:val="002041A9"/>
    <w:rsid w:val="0021469B"/>
    <w:rsid w:val="00224696"/>
    <w:rsid w:val="0022494A"/>
    <w:rsid w:val="00225ECB"/>
    <w:rsid w:val="00231FFB"/>
    <w:rsid w:val="00233C6B"/>
    <w:rsid w:val="00237C3B"/>
    <w:rsid w:val="002546D0"/>
    <w:rsid w:val="00255303"/>
    <w:rsid w:val="00257029"/>
    <w:rsid w:val="00264456"/>
    <w:rsid w:val="0027049F"/>
    <w:rsid w:val="00272CB8"/>
    <w:rsid w:val="00274927"/>
    <w:rsid w:val="002775B4"/>
    <w:rsid w:val="00281547"/>
    <w:rsid w:val="00283265"/>
    <w:rsid w:val="00285D5D"/>
    <w:rsid w:val="0029364E"/>
    <w:rsid w:val="00294FCB"/>
    <w:rsid w:val="002A3C52"/>
    <w:rsid w:val="002A6736"/>
    <w:rsid w:val="002B1109"/>
    <w:rsid w:val="002B7EF2"/>
    <w:rsid w:val="002C038C"/>
    <w:rsid w:val="002C24C1"/>
    <w:rsid w:val="002D0B44"/>
    <w:rsid w:val="002D316A"/>
    <w:rsid w:val="002E545F"/>
    <w:rsid w:val="002E64CE"/>
    <w:rsid w:val="002E76E1"/>
    <w:rsid w:val="002E7AD7"/>
    <w:rsid w:val="002F06FF"/>
    <w:rsid w:val="002F5E5E"/>
    <w:rsid w:val="002F7EE9"/>
    <w:rsid w:val="00302BD6"/>
    <w:rsid w:val="00305B0C"/>
    <w:rsid w:val="003061F2"/>
    <w:rsid w:val="0030768E"/>
    <w:rsid w:val="00312E35"/>
    <w:rsid w:val="00315187"/>
    <w:rsid w:val="00317958"/>
    <w:rsid w:val="003253E5"/>
    <w:rsid w:val="00335F93"/>
    <w:rsid w:val="00341A1F"/>
    <w:rsid w:val="003441FF"/>
    <w:rsid w:val="0035038C"/>
    <w:rsid w:val="003606FD"/>
    <w:rsid w:val="003705C1"/>
    <w:rsid w:val="00386213"/>
    <w:rsid w:val="00387CC7"/>
    <w:rsid w:val="00391EE4"/>
    <w:rsid w:val="00392B48"/>
    <w:rsid w:val="003A3ED5"/>
    <w:rsid w:val="003A654B"/>
    <w:rsid w:val="003B24CD"/>
    <w:rsid w:val="003B350D"/>
    <w:rsid w:val="003B5402"/>
    <w:rsid w:val="003B5B47"/>
    <w:rsid w:val="003D0814"/>
    <w:rsid w:val="003D1B3D"/>
    <w:rsid w:val="003D1C4E"/>
    <w:rsid w:val="003E107E"/>
    <w:rsid w:val="003E167B"/>
    <w:rsid w:val="003E2434"/>
    <w:rsid w:val="003E2B12"/>
    <w:rsid w:val="003E2CB2"/>
    <w:rsid w:val="003E2FF0"/>
    <w:rsid w:val="003E532D"/>
    <w:rsid w:val="003E73BF"/>
    <w:rsid w:val="003F0D39"/>
    <w:rsid w:val="003F338E"/>
    <w:rsid w:val="003F6660"/>
    <w:rsid w:val="003F74CD"/>
    <w:rsid w:val="00402201"/>
    <w:rsid w:val="00403056"/>
    <w:rsid w:val="0040539E"/>
    <w:rsid w:val="00407D0E"/>
    <w:rsid w:val="00414C03"/>
    <w:rsid w:val="00415D25"/>
    <w:rsid w:val="00420163"/>
    <w:rsid w:val="0042139F"/>
    <w:rsid w:val="00421C93"/>
    <w:rsid w:val="004230D5"/>
    <w:rsid w:val="00424D03"/>
    <w:rsid w:val="004258D6"/>
    <w:rsid w:val="00435FAA"/>
    <w:rsid w:val="00442947"/>
    <w:rsid w:val="00453001"/>
    <w:rsid w:val="00460A1A"/>
    <w:rsid w:val="00464255"/>
    <w:rsid w:val="00467105"/>
    <w:rsid w:val="00467ADC"/>
    <w:rsid w:val="00467ED3"/>
    <w:rsid w:val="004745D2"/>
    <w:rsid w:val="00486381"/>
    <w:rsid w:val="00487449"/>
    <w:rsid w:val="00490836"/>
    <w:rsid w:val="00490CF2"/>
    <w:rsid w:val="00495700"/>
    <w:rsid w:val="00495717"/>
    <w:rsid w:val="004A6CFC"/>
    <w:rsid w:val="004B046A"/>
    <w:rsid w:val="004B387C"/>
    <w:rsid w:val="004B39E3"/>
    <w:rsid w:val="004B3A5B"/>
    <w:rsid w:val="004B3D17"/>
    <w:rsid w:val="004B63C8"/>
    <w:rsid w:val="004B7218"/>
    <w:rsid w:val="004C4E6C"/>
    <w:rsid w:val="004D359B"/>
    <w:rsid w:val="004D6820"/>
    <w:rsid w:val="004E4052"/>
    <w:rsid w:val="004E4429"/>
    <w:rsid w:val="004F1319"/>
    <w:rsid w:val="004F1A6B"/>
    <w:rsid w:val="005010CB"/>
    <w:rsid w:val="005010D5"/>
    <w:rsid w:val="00503454"/>
    <w:rsid w:val="0050396C"/>
    <w:rsid w:val="005071E8"/>
    <w:rsid w:val="0050746D"/>
    <w:rsid w:val="00511E77"/>
    <w:rsid w:val="0052368D"/>
    <w:rsid w:val="00524F05"/>
    <w:rsid w:val="00526243"/>
    <w:rsid w:val="005323C3"/>
    <w:rsid w:val="00534AA8"/>
    <w:rsid w:val="00534C8F"/>
    <w:rsid w:val="0053713E"/>
    <w:rsid w:val="00545F17"/>
    <w:rsid w:val="00546F4D"/>
    <w:rsid w:val="005504C8"/>
    <w:rsid w:val="00563140"/>
    <w:rsid w:val="00572D56"/>
    <w:rsid w:val="0057354B"/>
    <w:rsid w:val="00573E25"/>
    <w:rsid w:val="005761CF"/>
    <w:rsid w:val="005830BC"/>
    <w:rsid w:val="00591F00"/>
    <w:rsid w:val="00592874"/>
    <w:rsid w:val="00593738"/>
    <w:rsid w:val="005938D0"/>
    <w:rsid w:val="005968E2"/>
    <w:rsid w:val="005A1C29"/>
    <w:rsid w:val="005A2208"/>
    <w:rsid w:val="005C24DA"/>
    <w:rsid w:val="005C39B6"/>
    <w:rsid w:val="005C77B3"/>
    <w:rsid w:val="005D13CE"/>
    <w:rsid w:val="005D3CB4"/>
    <w:rsid w:val="005D46E2"/>
    <w:rsid w:val="005D5A18"/>
    <w:rsid w:val="005D685A"/>
    <w:rsid w:val="005D7F08"/>
    <w:rsid w:val="005E0D91"/>
    <w:rsid w:val="005E36AF"/>
    <w:rsid w:val="005E3B3D"/>
    <w:rsid w:val="005E52A0"/>
    <w:rsid w:val="005E6945"/>
    <w:rsid w:val="005F21D8"/>
    <w:rsid w:val="005F2579"/>
    <w:rsid w:val="005F4B92"/>
    <w:rsid w:val="005F5D4C"/>
    <w:rsid w:val="00604B1C"/>
    <w:rsid w:val="00606598"/>
    <w:rsid w:val="006067BD"/>
    <w:rsid w:val="00607541"/>
    <w:rsid w:val="006075FC"/>
    <w:rsid w:val="0061053D"/>
    <w:rsid w:val="006113E5"/>
    <w:rsid w:val="00617305"/>
    <w:rsid w:val="00617390"/>
    <w:rsid w:val="00625D60"/>
    <w:rsid w:val="00630D4A"/>
    <w:rsid w:val="00634EA6"/>
    <w:rsid w:val="00636A18"/>
    <w:rsid w:val="00642B88"/>
    <w:rsid w:val="006455FD"/>
    <w:rsid w:val="00650F77"/>
    <w:rsid w:val="0065203B"/>
    <w:rsid w:val="00652B2E"/>
    <w:rsid w:val="00653177"/>
    <w:rsid w:val="00654CC4"/>
    <w:rsid w:val="0066226E"/>
    <w:rsid w:val="00666515"/>
    <w:rsid w:val="006672E0"/>
    <w:rsid w:val="00671634"/>
    <w:rsid w:val="006744FB"/>
    <w:rsid w:val="00680502"/>
    <w:rsid w:val="00687152"/>
    <w:rsid w:val="006918F6"/>
    <w:rsid w:val="00694957"/>
    <w:rsid w:val="0069741A"/>
    <w:rsid w:val="00697D28"/>
    <w:rsid w:val="006A028D"/>
    <w:rsid w:val="006A34F0"/>
    <w:rsid w:val="006A57F7"/>
    <w:rsid w:val="006B14D6"/>
    <w:rsid w:val="006B3A80"/>
    <w:rsid w:val="006B56B0"/>
    <w:rsid w:val="006C12A7"/>
    <w:rsid w:val="006C3ECA"/>
    <w:rsid w:val="006C45A3"/>
    <w:rsid w:val="006C6460"/>
    <w:rsid w:val="006D07E3"/>
    <w:rsid w:val="006D5682"/>
    <w:rsid w:val="006E66A0"/>
    <w:rsid w:val="006E6BBF"/>
    <w:rsid w:val="006E7413"/>
    <w:rsid w:val="006F65D7"/>
    <w:rsid w:val="006F7431"/>
    <w:rsid w:val="00704842"/>
    <w:rsid w:val="00715003"/>
    <w:rsid w:val="00717E0A"/>
    <w:rsid w:val="00723C9E"/>
    <w:rsid w:val="00723E0B"/>
    <w:rsid w:val="0072472B"/>
    <w:rsid w:val="00726DF3"/>
    <w:rsid w:val="007316A6"/>
    <w:rsid w:val="0073661C"/>
    <w:rsid w:val="00737D18"/>
    <w:rsid w:val="00743A8B"/>
    <w:rsid w:val="00750CBA"/>
    <w:rsid w:val="0075361C"/>
    <w:rsid w:val="00756937"/>
    <w:rsid w:val="007609F5"/>
    <w:rsid w:val="00761859"/>
    <w:rsid w:val="0076522F"/>
    <w:rsid w:val="00765987"/>
    <w:rsid w:val="00766A68"/>
    <w:rsid w:val="00773B24"/>
    <w:rsid w:val="00775790"/>
    <w:rsid w:val="00783713"/>
    <w:rsid w:val="00784CDA"/>
    <w:rsid w:val="007917A6"/>
    <w:rsid w:val="0079208F"/>
    <w:rsid w:val="007A3B07"/>
    <w:rsid w:val="007A45CF"/>
    <w:rsid w:val="007B0190"/>
    <w:rsid w:val="007B19CF"/>
    <w:rsid w:val="007B42C1"/>
    <w:rsid w:val="007B5232"/>
    <w:rsid w:val="007B64D5"/>
    <w:rsid w:val="007C2ED5"/>
    <w:rsid w:val="007C7B4F"/>
    <w:rsid w:val="007D1B02"/>
    <w:rsid w:val="007D3D67"/>
    <w:rsid w:val="007D7EA4"/>
    <w:rsid w:val="007E5AB5"/>
    <w:rsid w:val="007E7D4D"/>
    <w:rsid w:val="007F065A"/>
    <w:rsid w:val="00801778"/>
    <w:rsid w:val="008043DA"/>
    <w:rsid w:val="0080758E"/>
    <w:rsid w:val="008126C2"/>
    <w:rsid w:val="00817300"/>
    <w:rsid w:val="0082152E"/>
    <w:rsid w:val="00822423"/>
    <w:rsid w:val="00822E08"/>
    <w:rsid w:val="0082309E"/>
    <w:rsid w:val="00824436"/>
    <w:rsid w:val="00825C12"/>
    <w:rsid w:val="00833D9A"/>
    <w:rsid w:val="008372B9"/>
    <w:rsid w:val="00840A7F"/>
    <w:rsid w:val="00840F3D"/>
    <w:rsid w:val="0084583D"/>
    <w:rsid w:val="00845F55"/>
    <w:rsid w:val="00846723"/>
    <w:rsid w:val="00850079"/>
    <w:rsid w:val="008519D8"/>
    <w:rsid w:val="0085449F"/>
    <w:rsid w:val="00860A2E"/>
    <w:rsid w:val="00864F81"/>
    <w:rsid w:val="00870106"/>
    <w:rsid w:val="00872383"/>
    <w:rsid w:val="008734FF"/>
    <w:rsid w:val="0087377A"/>
    <w:rsid w:val="00876467"/>
    <w:rsid w:val="00882EED"/>
    <w:rsid w:val="00883CED"/>
    <w:rsid w:val="00884B3D"/>
    <w:rsid w:val="00886A4B"/>
    <w:rsid w:val="00886FF5"/>
    <w:rsid w:val="0088768A"/>
    <w:rsid w:val="00896852"/>
    <w:rsid w:val="008970D3"/>
    <w:rsid w:val="00897536"/>
    <w:rsid w:val="008A1796"/>
    <w:rsid w:val="008A1A9D"/>
    <w:rsid w:val="008A27FF"/>
    <w:rsid w:val="008A5C2B"/>
    <w:rsid w:val="008B0855"/>
    <w:rsid w:val="008B1912"/>
    <w:rsid w:val="008C0AD4"/>
    <w:rsid w:val="008C231F"/>
    <w:rsid w:val="008C40F0"/>
    <w:rsid w:val="008C747C"/>
    <w:rsid w:val="008C7CBA"/>
    <w:rsid w:val="008D0F83"/>
    <w:rsid w:val="008D14D3"/>
    <w:rsid w:val="008D6B19"/>
    <w:rsid w:val="008D7193"/>
    <w:rsid w:val="008E0033"/>
    <w:rsid w:val="008E35E0"/>
    <w:rsid w:val="008E3995"/>
    <w:rsid w:val="008E4FBC"/>
    <w:rsid w:val="008E6C0F"/>
    <w:rsid w:val="008F5821"/>
    <w:rsid w:val="008F5CDE"/>
    <w:rsid w:val="0090010C"/>
    <w:rsid w:val="009001A0"/>
    <w:rsid w:val="009001F0"/>
    <w:rsid w:val="00901C81"/>
    <w:rsid w:val="0090479A"/>
    <w:rsid w:val="009129AA"/>
    <w:rsid w:val="00915CB3"/>
    <w:rsid w:val="009211D4"/>
    <w:rsid w:val="00924A8E"/>
    <w:rsid w:val="00924A8F"/>
    <w:rsid w:val="00925161"/>
    <w:rsid w:val="009252F9"/>
    <w:rsid w:val="0092567A"/>
    <w:rsid w:val="00927806"/>
    <w:rsid w:val="00935FB5"/>
    <w:rsid w:val="00947E25"/>
    <w:rsid w:val="00950CD2"/>
    <w:rsid w:val="009523ED"/>
    <w:rsid w:val="00954C1B"/>
    <w:rsid w:val="009567A4"/>
    <w:rsid w:val="009650AA"/>
    <w:rsid w:val="00967285"/>
    <w:rsid w:val="00967E28"/>
    <w:rsid w:val="00970F58"/>
    <w:rsid w:val="00995189"/>
    <w:rsid w:val="009B04B5"/>
    <w:rsid w:val="009B0A97"/>
    <w:rsid w:val="009B689F"/>
    <w:rsid w:val="009D19A1"/>
    <w:rsid w:val="009E7907"/>
    <w:rsid w:val="009E79F8"/>
    <w:rsid w:val="009F3F3C"/>
    <w:rsid w:val="009F6553"/>
    <w:rsid w:val="009F70A1"/>
    <w:rsid w:val="00A0393D"/>
    <w:rsid w:val="00A1555D"/>
    <w:rsid w:val="00A179F9"/>
    <w:rsid w:val="00A25D85"/>
    <w:rsid w:val="00A33199"/>
    <w:rsid w:val="00A33633"/>
    <w:rsid w:val="00A33B8B"/>
    <w:rsid w:val="00A344F0"/>
    <w:rsid w:val="00A41156"/>
    <w:rsid w:val="00A44373"/>
    <w:rsid w:val="00A46F27"/>
    <w:rsid w:val="00A52ECD"/>
    <w:rsid w:val="00A60208"/>
    <w:rsid w:val="00A62CC2"/>
    <w:rsid w:val="00A63076"/>
    <w:rsid w:val="00A67A91"/>
    <w:rsid w:val="00A67EAC"/>
    <w:rsid w:val="00A67FB9"/>
    <w:rsid w:val="00A74004"/>
    <w:rsid w:val="00A75FAA"/>
    <w:rsid w:val="00A762BC"/>
    <w:rsid w:val="00A778C3"/>
    <w:rsid w:val="00A91682"/>
    <w:rsid w:val="00A961B6"/>
    <w:rsid w:val="00A97262"/>
    <w:rsid w:val="00AA24D3"/>
    <w:rsid w:val="00AA38B5"/>
    <w:rsid w:val="00AA41BE"/>
    <w:rsid w:val="00AA4214"/>
    <w:rsid w:val="00AA677A"/>
    <w:rsid w:val="00AB1182"/>
    <w:rsid w:val="00AB33CC"/>
    <w:rsid w:val="00AB38B2"/>
    <w:rsid w:val="00AC03C9"/>
    <w:rsid w:val="00AD1C6D"/>
    <w:rsid w:val="00AD22BB"/>
    <w:rsid w:val="00AD2CB2"/>
    <w:rsid w:val="00AD3021"/>
    <w:rsid w:val="00AD5F94"/>
    <w:rsid w:val="00AD6406"/>
    <w:rsid w:val="00AE41B2"/>
    <w:rsid w:val="00AE503B"/>
    <w:rsid w:val="00AF0F9E"/>
    <w:rsid w:val="00AF225B"/>
    <w:rsid w:val="00AF48EE"/>
    <w:rsid w:val="00AF50BC"/>
    <w:rsid w:val="00AF5E5D"/>
    <w:rsid w:val="00AF5E75"/>
    <w:rsid w:val="00B00C01"/>
    <w:rsid w:val="00B02110"/>
    <w:rsid w:val="00B033BB"/>
    <w:rsid w:val="00B043E3"/>
    <w:rsid w:val="00B13894"/>
    <w:rsid w:val="00B1394D"/>
    <w:rsid w:val="00B15272"/>
    <w:rsid w:val="00B16976"/>
    <w:rsid w:val="00B225C5"/>
    <w:rsid w:val="00B256D3"/>
    <w:rsid w:val="00B2726D"/>
    <w:rsid w:val="00B277E7"/>
    <w:rsid w:val="00B27E7B"/>
    <w:rsid w:val="00B35900"/>
    <w:rsid w:val="00B44BE3"/>
    <w:rsid w:val="00B510B7"/>
    <w:rsid w:val="00B534D0"/>
    <w:rsid w:val="00B547D7"/>
    <w:rsid w:val="00B55124"/>
    <w:rsid w:val="00B6006A"/>
    <w:rsid w:val="00B60CD1"/>
    <w:rsid w:val="00B61C1B"/>
    <w:rsid w:val="00B6588D"/>
    <w:rsid w:val="00B67900"/>
    <w:rsid w:val="00B7185C"/>
    <w:rsid w:val="00B7644E"/>
    <w:rsid w:val="00B807F0"/>
    <w:rsid w:val="00B91274"/>
    <w:rsid w:val="00B9505C"/>
    <w:rsid w:val="00B9506E"/>
    <w:rsid w:val="00BA038F"/>
    <w:rsid w:val="00BA2A34"/>
    <w:rsid w:val="00BA2CA2"/>
    <w:rsid w:val="00BA3AEA"/>
    <w:rsid w:val="00BA4264"/>
    <w:rsid w:val="00BA43EE"/>
    <w:rsid w:val="00BC01D1"/>
    <w:rsid w:val="00BC03F8"/>
    <w:rsid w:val="00BC617F"/>
    <w:rsid w:val="00BC78C0"/>
    <w:rsid w:val="00BD0C77"/>
    <w:rsid w:val="00BE0E15"/>
    <w:rsid w:val="00BE4373"/>
    <w:rsid w:val="00BF48D2"/>
    <w:rsid w:val="00BF628A"/>
    <w:rsid w:val="00BF7ADA"/>
    <w:rsid w:val="00C00D7F"/>
    <w:rsid w:val="00C03FC4"/>
    <w:rsid w:val="00C07963"/>
    <w:rsid w:val="00C10BD8"/>
    <w:rsid w:val="00C110A5"/>
    <w:rsid w:val="00C12F8E"/>
    <w:rsid w:val="00C13738"/>
    <w:rsid w:val="00C22F22"/>
    <w:rsid w:val="00C27442"/>
    <w:rsid w:val="00C315C7"/>
    <w:rsid w:val="00C35FDA"/>
    <w:rsid w:val="00C443D9"/>
    <w:rsid w:val="00C444BF"/>
    <w:rsid w:val="00C44AF9"/>
    <w:rsid w:val="00C478D4"/>
    <w:rsid w:val="00C50290"/>
    <w:rsid w:val="00C523B8"/>
    <w:rsid w:val="00C52C6E"/>
    <w:rsid w:val="00C52D56"/>
    <w:rsid w:val="00C531BD"/>
    <w:rsid w:val="00C53E24"/>
    <w:rsid w:val="00C60D30"/>
    <w:rsid w:val="00C61D36"/>
    <w:rsid w:val="00C61D8F"/>
    <w:rsid w:val="00C636C5"/>
    <w:rsid w:val="00C67C58"/>
    <w:rsid w:val="00C7203F"/>
    <w:rsid w:val="00C74A6D"/>
    <w:rsid w:val="00C75B2F"/>
    <w:rsid w:val="00C8693A"/>
    <w:rsid w:val="00C87644"/>
    <w:rsid w:val="00CA07C5"/>
    <w:rsid w:val="00CA3E0D"/>
    <w:rsid w:val="00CB16B4"/>
    <w:rsid w:val="00CB521C"/>
    <w:rsid w:val="00CC1EFB"/>
    <w:rsid w:val="00CC4242"/>
    <w:rsid w:val="00CC491A"/>
    <w:rsid w:val="00CC4FAD"/>
    <w:rsid w:val="00CD0013"/>
    <w:rsid w:val="00CD0B31"/>
    <w:rsid w:val="00CD16BF"/>
    <w:rsid w:val="00CE078A"/>
    <w:rsid w:val="00CE09B5"/>
    <w:rsid w:val="00CE7F0D"/>
    <w:rsid w:val="00CF158B"/>
    <w:rsid w:val="00D00564"/>
    <w:rsid w:val="00D0061F"/>
    <w:rsid w:val="00D020A1"/>
    <w:rsid w:val="00D025BB"/>
    <w:rsid w:val="00D02810"/>
    <w:rsid w:val="00D03498"/>
    <w:rsid w:val="00D07FAC"/>
    <w:rsid w:val="00D1024C"/>
    <w:rsid w:val="00D118F7"/>
    <w:rsid w:val="00D1393A"/>
    <w:rsid w:val="00D17A01"/>
    <w:rsid w:val="00D21369"/>
    <w:rsid w:val="00D26CBB"/>
    <w:rsid w:val="00D40143"/>
    <w:rsid w:val="00D42100"/>
    <w:rsid w:val="00D462D8"/>
    <w:rsid w:val="00D56BD9"/>
    <w:rsid w:val="00D66C60"/>
    <w:rsid w:val="00D66DA2"/>
    <w:rsid w:val="00D7236F"/>
    <w:rsid w:val="00D75AEA"/>
    <w:rsid w:val="00D83550"/>
    <w:rsid w:val="00D84D7F"/>
    <w:rsid w:val="00D91751"/>
    <w:rsid w:val="00D922B6"/>
    <w:rsid w:val="00D93313"/>
    <w:rsid w:val="00D93862"/>
    <w:rsid w:val="00DA06D5"/>
    <w:rsid w:val="00DA1508"/>
    <w:rsid w:val="00DA380A"/>
    <w:rsid w:val="00DA3D7C"/>
    <w:rsid w:val="00DA6E70"/>
    <w:rsid w:val="00DB2E77"/>
    <w:rsid w:val="00DB3850"/>
    <w:rsid w:val="00DB5B85"/>
    <w:rsid w:val="00DC0FDD"/>
    <w:rsid w:val="00DC5197"/>
    <w:rsid w:val="00DC5900"/>
    <w:rsid w:val="00DC6164"/>
    <w:rsid w:val="00DD38C5"/>
    <w:rsid w:val="00DD6911"/>
    <w:rsid w:val="00DE11C2"/>
    <w:rsid w:val="00DE535E"/>
    <w:rsid w:val="00DE6843"/>
    <w:rsid w:val="00DF1700"/>
    <w:rsid w:val="00E00682"/>
    <w:rsid w:val="00E00A20"/>
    <w:rsid w:val="00E00C2E"/>
    <w:rsid w:val="00E01F2B"/>
    <w:rsid w:val="00E07935"/>
    <w:rsid w:val="00E20824"/>
    <w:rsid w:val="00E34C35"/>
    <w:rsid w:val="00E35027"/>
    <w:rsid w:val="00E35B88"/>
    <w:rsid w:val="00E36B28"/>
    <w:rsid w:val="00E4601A"/>
    <w:rsid w:val="00E50C0C"/>
    <w:rsid w:val="00E51D31"/>
    <w:rsid w:val="00E5232F"/>
    <w:rsid w:val="00E563C2"/>
    <w:rsid w:val="00E65434"/>
    <w:rsid w:val="00E71C67"/>
    <w:rsid w:val="00E82AA0"/>
    <w:rsid w:val="00E82EB0"/>
    <w:rsid w:val="00E84E86"/>
    <w:rsid w:val="00E905DF"/>
    <w:rsid w:val="00E94BC7"/>
    <w:rsid w:val="00E97DE3"/>
    <w:rsid w:val="00EA30B3"/>
    <w:rsid w:val="00EA5517"/>
    <w:rsid w:val="00EB0AFB"/>
    <w:rsid w:val="00EB599B"/>
    <w:rsid w:val="00EC14CC"/>
    <w:rsid w:val="00EC2DDD"/>
    <w:rsid w:val="00ED3455"/>
    <w:rsid w:val="00ED5824"/>
    <w:rsid w:val="00ED749A"/>
    <w:rsid w:val="00EE2D95"/>
    <w:rsid w:val="00EE3E3A"/>
    <w:rsid w:val="00EE4879"/>
    <w:rsid w:val="00EE7700"/>
    <w:rsid w:val="00EF0AD3"/>
    <w:rsid w:val="00EF24DC"/>
    <w:rsid w:val="00EF7990"/>
    <w:rsid w:val="00F0111A"/>
    <w:rsid w:val="00F0129A"/>
    <w:rsid w:val="00F0443E"/>
    <w:rsid w:val="00F050AB"/>
    <w:rsid w:val="00F10094"/>
    <w:rsid w:val="00F11326"/>
    <w:rsid w:val="00F12A04"/>
    <w:rsid w:val="00F20D56"/>
    <w:rsid w:val="00F24F55"/>
    <w:rsid w:val="00F261CB"/>
    <w:rsid w:val="00F3110C"/>
    <w:rsid w:val="00F32ACF"/>
    <w:rsid w:val="00F33F1A"/>
    <w:rsid w:val="00F35F99"/>
    <w:rsid w:val="00F374A2"/>
    <w:rsid w:val="00F421B5"/>
    <w:rsid w:val="00F5292D"/>
    <w:rsid w:val="00F60ADA"/>
    <w:rsid w:val="00F65EED"/>
    <w:rsid w:val="00F66A64"/>
    <w:rsid w:val="00F66E4A"/>
    <w:rsid w:val="00F7174C"/>
    <w:rsid w:val="00F764C5"/>
    <w:rsid w:val="00F769C4"/>
    <w:rsid w:val="00F81BB2"/>
    <w:rsid w:val="00F83CAE"/>
    <w:rsid w:val="00F86C1A"/>
    <w:rsid w:val="00F87CCE"/>
    <w:rsid w:val="00F921AF"/>
    <w:rsid w:val="00F93AD8"/>
    <w:rsid w:val="00F93CD5"/>
    <w:rsid w:val="00F958F0"/>
    <w:rsid w:val="00FA2EF6"/>
    <w:rsid w:val="00FA52D3"/>
    <w:rsid w:val="00FB22C7"/>
    <w:rsid w:val="00FB25F8"/>
    <w:rsid w:val="00FB5381"/>
    <w:rsid w:val="00FC06A4"/>
    <w:rsid w:val="00FC0C6C"/>
    <w:rsid w:val="00FD18F7"/>
    <w:rsid w:val="00FD4380"/>
    <w:rsid w:val="00FD4D3E"/>
    <w:rsid w:val="00FD62A6"/>
    <w:rsid w:val="00FE103A"/>
    <w:rsid w:val="00FE1501"/>
    <w:rsid w:val="00FE3AC6"/>
    <w:rsid w:val="00FE494D"/>
    <w:rsid w:val="00FE4FF4"/>
    <w:rsid w:val="00FF25DB"/>
    <w:rsid w:val="00FF3D4C"/>
    <w:rsid w:val="00FF4BB6"/>
    <w:rsid w:val="00FF747A"/>
    <w:rsid w:val="0130F4D1"/>
    <w:rsid w:val="04AAE014"/>
    <w:rsid w:val="04B0342E"/>
    <w:rsid w:val="04BA9939"/>
    <w:rsid w:val="0518FF2E"/>
    <w:rsid w:val="0524CEAA"/>
    <w:rsid w:val="05A0C9AE"/>
    <w:rsid w:val="05BC8241"/>
    <w:rsid w:val="05DA5943"/>
    <w:rsid w:val="06731DCF"/>
    <w:rsid w:val="071F4D07"/>
    <w:rsid w:val="078C4A98"/>
    <w:rsid w:val="0A0DB8A2"/>
    <w:rsid w:val="0A140E6D"/>
    <w:rsid w:val="0D6D7C84"/>
    <w:rsid w:val="0D8A0ACE"/>
    <w:rsid w:val="1241536E"/>
    <w:rsid w:val="127947DD"/>
    <w:rsid w:val="134118F5"/>
    <w:rsid w:val="1347252E"/>
    <w:rsid w:val="16E3904B"/>
    <w:rsid w:val="16F84CA7"/>
    <w:rsid w:val="1725E9C5"/>
    <w:rsid w:val="17752D4C"/>
    <w:rsid w:val="183957BB"/>
    <w:rsid w:val="18578EF2"/>
    <w:rsid w:val="18A0C6E0"/>
    <w:rsid w:val="18B4925D"/>
    <w:rsid w:val="18E50F17"/>
    <w:rsid w:val="19861993"/>
    <w:rsid w:val="1A13E0E2"/>
    <w:rsid w:val="1A1C1844"/>
    <w:rsid w:val="1ADAED71"/>
    <w:rsid w:val="1BF6D98D"/>
    <w:rsid w:val="1CD46403"/>
    <w:rsid w:val="1D4084F6"/>
    <w:rsid w:val="1DCAA5A5"/>
    <w:rsid w:val="202483A8"/>
    <w:rsid w:val="206965AF"/>
    <w:rsid w:val="210F472E"/>
    <w:rsid w:val="2197A33B"/>
    <w:rsid w:val="21E5749F"/>
    <w:rsid w:val="22253B5E"/>
    <w:rsid w:val="222C542D"/>
    <w:rsid w:val="2302FD21"/>
    <w:rsid w:val="24E7CD74"/>
    <w:rsid w:val="254058D6"/>
    <w:rsid w:val="25FB91CF"/>
    <w:rsid w:val="26CD09B6"/>
    <w:rsid w:val="289F090A"/>
    <w:rsid w:val="28FEC4CA"/>
    <w:rsid w:val="290FB4D0"/>
    <w:rsid w:val="2A7B60E2"/>
    <w:rsid w:val="2AAC5F6C"/>
    <w:rsid w:val="2AB29704"/>
    <w:rsid w:val="2B3B499C"/>
    <w:rsid w:val="2B4A81F3"/>
    <w:rsid w:val="2B83C78F"/>
    <w:rsid w:val="2D9F730F"/>
    <w:rsid w:val="31FBC826"/>
    <w:rsid w:val="3233DB66"/>
    <w:rsid w:val="32CEC772"/>
    <w:rsid w:val="331A9FEE"/>
    <w:rsid w:val="33B2CFCB"/>
    <w:rsid w:val="34EB813B"/>
    <w:rsid w:val="358E42B0"/>
    <w:rsid w:val="361CDA87"/>
    <w:rsid w:val="3925B846"/>
    <w:rsid w:val="3A274AF0"/>
    <w:rsid w:val="3BE72F2E"/>
    <w:rsid w:val="3C4FD529"/>
    <w:rsid w:val="3D07EFA3"/>
    <w:rsid w:val="40069BF5"/>
    <w:rsid w:val="403C43F6"/>
    <w:rsid w:val="404E10BB"/>
    <w:rsid w:val="4066C784"/>
    <w:rsid w:val="40D56E38"/>
    <w:rsid w:val="4155E516"/>
    <w:rsid w:val="41DB60C6"/>
    <w:rsid w:val="4302EFFA"/>
    <w:rsid w:val="44FBF273"/>
    <w:rsid w:val="45964A6D"/>
    <w:rsid w:val="45AD1C9B"/>
    <w:rsid w:val="487A45A4"/>
    <w:rsid w:val="494E3F4E"/>
    <w:rsid w:val="4A3A5BE7"/>
    <w:rsid w:val="4B48658A"/>
    <w:rsid w:val="4B59A640"/>
    <w:rsid w:val="4BF9ECD6"/>
    <w:rsid w:val="4C3A50E9"/>
    <w:rsid w:val="4E755BF4"/>
    <w:rsid w:val="500AEF51"/>
    <w:rsid w:val="5306290E"/>
    <w:rsid w:val="54E9F7B8"/>
    <w:rsid w:val="574DB1FD"/>
    <w:rsid w:val="58A6874C"/>
    <w:rsid w:val="5A40B5CD"/>
    <w:rsid w:val="5AD9AB7A"/>
    <w:rsid w:val="5C921DEC"/>
    <w:rsid w:val="5E0A16DE"/>
    <w:rsid w:val="5F26DCDC"/>
    <w:rsid w:val="60018196"/>
    <w:rsid w:val="6039EEC4"/>
    <w:rsid w:val="604E1A5A"/>
    <w:rsid w:val="612ECA53"/>
    <w:rsid w:val="63762100"/>
    <w:rsid w:val="66A6FC25"/>
    <w:rsid w:val="66B2C059"/>
    <w:rsid w:val="66C523B7"/>
    <w:rsid w:val="6735E30E"/>
    <w:rsid w:val="6AFF2062"/>
    <w:rsid w:val="6B5FC8BB"/>
    <w:rsid w:val="6BA35C1F"/>
    <w:rsid w:val="6BD7C97C"/>
    <w:rsid w:val="6E4CD383"/>
    <w:rsid w:val="6FD0BF82"/>
    <w:rsid w:val="70A63B2C"/>
    <w:rsid w:val="73007F98"/>
    <w:rsid w:val="736BBCEC"/>
    <w:rsid w:val="74883E03"/>
    <w:rsid w:val="7498E330"/>
    <w:rsid w:val="75E3C6B1"/>
    <w:rsid w:val="786F36BC"/>
    <w:rsid w:val="78DCA62E"/>
    <w:rsid w:val="7A13D96A"/>
    <w:rsid w:val="7A6358B7"/>
    <w:rsid w:val="7CE3AEAE"/>
    <w:rsid w:val="7D48AA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E9755"/>
  <w15:docId w15:val="{CDE4145D-A1B1-48D4-8114-1751AE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D4D3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444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4230D5"/>
    <w:pPr>
      <w:keepNext/>
      <w:outlineLvl w:val="5"/>
    </w:pPr>
    <w:rPr>
      <w:rFonts w:ascii="Arial" w:hAnsi="Arial"/>
      <w:spacing w:val="-3"/>
      <w:sz w:val="28"/>
      <w:szCs w:val="20"/>
      <w:lang w:val="en-AU"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ultyName">
    <w:name w:val="FacultyName"/>
    <w:basedOn w:val="Heading1"/>
    <w:next w:val="Normal"/>
    <w:rsid w:val="00FD4D3E"/>
    <w:pPr>
      <w:pBdr>
        <w:top w:val="single" w:sz="4" w:space="1" w:color="auto"/>
        <w:bottom w:val="single" w:sz="4" w:space="1" w:color="auto"/>
      </w:pBdr>
      <w:shd w:val="clear" w:color="auto" w:fill="000000"/>
      <w:tabs>
        <w:tab w:val="left" w:pos="0"/>
      </w:tabs>
      <w:spacing w:before="0" w:after="240" w:line="280" w:lineRule="atLeast"/>
      <w:ind w:left="-680"/>
      <w:outlineLvl w:val="9"/>
    </w:pPr>
    <w:rPr>
      <w:rFonts w:ascii="DIN-Regular" w:hAnsi="DIN-Regular" w:cs="Times New Roman"/>
      <w:b w:val="0"/>
      <w:bCs w:val="0"/>
      <w:caps/>
      <w:color w:val="FFFFFF"/>
      <w:spacing w:val="-10"/>
      <w:kern w:val="28"/>
      <w:sz w:val="28"/>
      <w:szCs w:val="20"/>
      <w:lang w:val="en-AU" w:eastAsia="zh-TW"/>
    </w:rPr>
  </w:style>
  <w:style w:type="paragraph" w:styleId="Footer">
    <w:name w:val="footer"/>
    <w:basedOn w:val="Normal"/>
    <w:link w:val="FooterChar"/>
    <w:uiPriority w:val="99"/>
    <w:rsid w:val="00FD4D3E"/>
    <w:pPr>
      <w:tabs>
        <w:tab w:val="center" w:pos="4320"/>
        <w:tab w:val="right" w:pos="8640"/>
      </w:tabs>
    </w:pPr>
    <w:rPr>
      <w:szCs w:val="20"/>
      <w:lang w:val="en-AU" w:eastAsia="zh-TW"/>
    </w:rPr>
  </w:style>
  <w:style w:type="table" w:styleId="TableGrid">
    <w:name w:val="Table Grid"/>
    <w:basedOn w:val="TableNormal"/>
    <w:rsid w:val="00FD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D4D3E"/>
    <w:rPr>
      <w:i/>
    </w:rPr>
  </w:style>
  <w:style w:type="character" w:customStyle="1" w:styleId="Heading2Char">
    <w:name w:val="Heading 2 Char"/>
    <w:basedOn w:val="DefaultParagraphFont"/>
    <w:link w:val="Heading2"/>
    <w:semiHidden/>
    <w:rsid w:val="001444DC"/>
    <w:rPr>
      <w:rFonts w:asciiTheme="majorHAnsi" w:eastAsiaTheme="majorEastAsia" w:hAnsiTheme="majorHAnsi" w:cstheme="majorBidi"/>
      <w:color w:val="365F91" w:themeColor="accent1" w:themeShade="BF"/>
      <w:sz w:val="26"/>
      <w:szCs w:val="26"/>
      <w:lang w:val="en-US" w:eastAsia="en-US"/>
    </w:rPr>
  </w:style>
  <w:style w:type="paragraph" w:styleId="NormalWeb">
    <w:name w:val="Normal (Web)"/>
    <w:basedOn w:val="Normal"/>
    <w:uiPriority w:val="99"/>
    <w:unhideWhenUsed/>
    <w:rsid w:val="001444DC"/>
    <w:pPr>
      <w:spacing w:before="100" w:beforeAutospacing="1" w:after="100" w:afterAutospacing="1"/>
    </w:pPr>
    <w:rPr>
      <w:lang w:val="en-IN" w:eastAsia="en-IN"/>
    </w:rPr>
  </w:style>
  <w:style w:type="paragraph" w:styleId="ListParagraph">
    <w:name w:val="List Paragraph"/>
    <w:basedOn w:val="Normal"/>
    <w:uiPriority w:val="34"/>
    <w:qFormat/>
    <w:rsid w:val="001444DC"/>
    <w:pPr>
      <w:spacing w:after="200" w:line="276" w:lineRule="auto"/>
      <w:ind w:left="720"/>
      <w:contextualSpacing/>
    </w:pPr>
    <w:rPr>
      <w:rFonts w:asciiTheme="minorHAnsi" w:eastAsiaTheme="minorHAnsi" w:hAnsiTheme="minorHAnsi" w:cstheme="minorBidi"/>
      <w:sz w:val="22"/>
      <w:szCs w:val="22"/>
      <w:lang w:val="en-IN"/>
    </w:rPr>
  </w:style>
  <w:style w:type="paragraph" w:styleId="Header">
    <w:name w:val="header"/>
    <w:basedOn w:val="Normal"/>
    <w:link w:val="HeaderChar"/>
    <w:unhideWhenUsed/>
    <w:rsid w:val="00593738"/>
    <w:pPr>
      <w:tabs>
        <w:tab w:val="center" w:pos="4513"/>
        <w:tab w:val="right" w:pos="9026"/>
      </w:tabs>
    </w:pPr>
  </w:style>
  <w:style w:type="character" w:customStyle="1" w:styleId="HeaderChar">
    <w:name w:val="Header Char"/>
    <w:basedOn w:val="DefaultParagraphFont"/>
    <w:link w:val="Header"/>
    <w:rsid w:val="00593738"/>
    <w:rPr>
      <w:sz w:val="24"/>
      <w:szCs w:val="24"/>
      <w:lang w:val="en-US" w:eastAsia="en-US"/>
    </w:rPr>
  </w:style>
  <w:style w:type="character" w:customStyle="1" w:styleId="FooterChar">
    <w:name w:val="Footer Char"/>
    <w:basedOn w:val="DefaultParagraphFont"/>
    <w:link w:val="Footer"/>
    <w:uiPriority w:val="99"/>
    <w:rsid w:val="00593738"/>
    <w:rPr>
      <w:sz w:val="24"/>
      <w:lang w:eastAsia="zh-TW"/>
    </w:rPr>
  </w:style>
  <w:style w:type="paragraph" w:customStyle="1" w:styleId="Default">
    <w:name w:val="Default"/>
    <w:rsid w:val="00B807F0"/>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0F3BB6"/>
    <w:rPr>
      <w:sz w:val="20"/>
      <w:szCs w:val="20"/>
    </w:rPr>
  </w:style>
  <w:style w:type="character" w:customStyle="1" w:styleId="FootnoteTextChar">
    <w:name w:val="Footnote Text Char"/>
    <w:basedOn w:val="DefaultParagraphFont"/>
    <w:link w:val="FootnoteText"/>
    <w:semiHidden/>
    <w:rsid w:val="000F3BB6"/>
    <w:rPr>
      <w:lang w:val="en-US" w:eastAsia="en-US"/>
    </w:rPr>
  </w:style>
  <w:style w:type="character" w:styleId="FootnoteReference">
    <w:name w:val="footnote reference"/>
    <w:basedOn w:val="DefaultParagraphFont"/>
    <w:semiHidden/>
    <w:unhideWhenUsed/>
    <w:rsid w:val="000F3BB6"/>
    <w:rPr>
      <w:vertAlign w:val="superscript"/>
    </w:rPr>
  </w:style>
  <w:style w:type="character" w:styleId="Mention">
    <w:name w:val="Mention"/>
    <w:basedOn w:val="DefaultParagraphFont"/>
    <w:uiPriority w:val="99"/>
    <w:unhideWhenUsed/>
    <w:rsid w:val="00726DF3"/>
    <w:rPr>
      <w:color w:val="2B579A"/>
      <w:shd w:val="clear" w:color="auto" w:fill="E6E6E6"/>
    </w:rPr>
  </w:style>
  <w:style w:type="paragraph" w:styleId="CommentText">
    <w:name w:val="annotation text"/>
    <w:basedOn w:val="Normal"/>
    <w:link w:val="CommentTextChar"/>
    <w:semiHidden/>
    <w:unhideWhenUsed/>
    <w:rsid w:val="00726DF3"/>
    <w:rPr>
      <w:sz w:val="20"/>
      <w:szCs w:val="20"/>
    </w:rPr>
  </w:style>
  <w:style w:type="character" w:customStyle="1" w:styleId="CommentTextChar">
    <w:name w:val="Comment Text Char"/>
    <w:basedOn w:val="DefaultParagraphFont"/>
    <w:link w:val="CommentText"/>
    <w:semiHidden/>
    <w:rsid w:val="00726DF3"/>
    <w:rPr>
      <w:lang w:val="en-US" w:eastAsia="en-US"/>
    </w:rPr>
  </w:style>
  <w:style w:type="character" w:styleId="CommentReference">
    <w:name w:val="annotation reference"/>
    <w:basedOn w:val="DefaultParagraphFont"/>
    <w:semiHidden/>
    <w:unhideWhenUsed/>
    <w:rsid w:val="00726DF3"/>
    <w:rPr>
      <w:sz w:val="16"/>
      <w:szCs w:val="16"/>
    </w:rPr>
  </w:style>
  <w:style w:type="character" w:styleId="Emphasis">
    <w:name w:val="Emphasis"/>
    <w:basedOn w:val="DefaultParagraphFont"/>
    <w:uiPriority w:val="20"/>
    <w:qFormat/>
    <w:rsid w:val="00FF4BB6"/>
    <w:rPr>
      <w:i/>
      <w:iCs/>
    </w:rPr>
  </w:style>
  <w:style w:type="character" w:styleId="Hyperlink">
    <w:name w:val="Hyperlink"/>
    <w:basedOn w:val="DefaultParagraphFont"/>
    <w:uiPriority w:val="99"/>
    <w:semiHidden/>
    <w:unhideWhenUsed/>
    <w:rsid w:val="00FF4BB6"/>
    <w:rPr>
      <w:color w:val="0000FF"/>
      <w:u w:val="single"/>
    </w:rPr>
  </w:style>
  <w:style w:type="character" w:customStyle="1" w:styleId="gray">
    <w:name w:val="gray"/>
    <w:basedOn w:val="DefaultParagraphFont"/>
    <w:rsid w:val="0095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075">
      <w:bodyDiv w:val="1"/>
      <w:marLeft w:val="0"/>
      <w:marRight w:val="0"/>
      <w:marTop w:val="0"/>
      <w:marBottom w:val="0"/>
      <w:divBdr>
        <w:top w:val="none" w:sz="0" w:space="0" w:color="auto"/>
        <w:left w:val="none" w:sz="0" w:space="0" w:color="auto"/>
        <w:bottom w:val="none" w:sz="0" w:space="0" w:color="auto"/>
        <w:right w:val="none" w:sz="0" w:space="0" w:color="auto"/>
      </w:divBdr>
    </w:div>
    <w:div w:id="353849130">
      <w:bodyDiv w:val="1"/>
      <w:marLeft w:val="0"/>
      <w:marRight w:val="0"/>
      <w:marTop w:val="0"/>
      <w:marBottom w:val="0"/>
      <w:divBdr>
        <w:top w:val="none" w:sz="0" w:space="0" w:color="auto"/>
        <w:left w:val="none" w:sz="0" w:space="0" w:color="auto"/>
        <w:bottom w:val="none" w:sz="0" w:space="0" w:color="auto"/>
        <w:right w:val="none" w:sz="0" w:space="0" w:color="auto"/>
      </w:divBdr>
      <w:divsChild>
        <w:div w:id="1585651534">
          <w:marLeft w:val="0"/>
          <w:marRight w:val="0"/>
          <w:marTop w:val="0"/>
          <w:marBottom w:val="0"/>
          <w:divBdr>
            <w:top w:val="none" w:sz="0" w:space="0" w:color="auto"/>
            <w:left w:val="none" w:sz="0" w:space="0" w:color="auto"/>
            <w:bottom w:val="none" w:sz="0" w:space="0" w:color="auto"/>
            <w:right w:val="none" w:sz="0" w:space="0" w:color="auto"/>
          </w:divBdr>
          <w:divsChild>
            <w:div w:id="14900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8412">
      <w:bodyDiv w:val="1"/>
      <w:marLeft w:val="0"/>
      <w:marRight w:val="0"/>
      <w:marTop w:val="0"/>
      <w:marBottom w:val="0"/>
      <w:divBdr>
        <w:top w:val="none" w:sz="0" w:space="0" w:color="auto"/>
        <w:left w:val="none" w:sz="0" w:space="0" w:color="auto"/>
        <w:bottom w:val="none" w:sz="0" w:space="0" w:color="auto"/>
        <w:right w:val="none" w:sz="0" w:space="0" w:color="auto"/>
      </w:divBdr>
    </w:div>
    <w:div w:id="743145428">
      <w:bodyDiv w:val="1"/>
      <w:marLeft w:val="0"/>
      <w:marRight w:val="0"/>
      <w:marTop w:val="0"/>
      <w:marBottom w:val="0"/>
      <w:divBdr>
        <w:top w:val="none" w:sz="0" w:space="0" w:color="auto"/>
        <w:left w:val="none" w:sz="0" w:space="0" w:color="auto"/>
        <w:bottom w:val="none" w:sz="0" w:space="0" w:color="auto"/>
        <w:right w:val="none" w:sz="0" w:space="0" w:color="auto"/>
      </w:divBdr>
    </w:div>
    <w:div w:id="776368450">
      <w:bodyDiv w:val="1"/>
      <w:marLeft w:val="0"/>
      <w:marRight w:val="0"/>
      <w:marTop w:val="0"/>
      <w:marBottom w:val="0"/>
      <w:divBdr>
        <w:top w:val="none" w:sz="0" w:space="0" w:color="auto"/>
        <w:left w:val="none" w:sz="0" w:space="0" w:color="auto"/>
        <w:bottom w:val="none" w:sz="0" w:space="0" w:color="auto"/>
        <w:right w:val="none" w:sz="0" w:space="0" w:color="auto"/>
      </w:divBdr>
    </w:div>
    <w:div w:id="814688989">
      <w:bodyDiv w:val="1"/>
      <w:marLeft w:val="0"/>
      <w:marRight w:val="0"/>
      <w:marTop w:val="0"/>
      <w:marBottom w:val="0"/>
      <w:divBdr>
        <w:top w:val="none" w:sz="0" w:space="0" w:color="auto"/>
        <w:left w:val="none" w:sz="0" w:space="0" w:color="auto"/>
        <w:bottom w:val="none" w:sz="0" w:space="0" w:color="auto"/>
        <w:right w:val="none" w:sz="0" w:space="0" w:color="auto"/>
      </w:divBdr>
    </w:div>
    <w:div w:id="1057362640">
      <w:bodyDiv w:val="1"/>
      <w:marLeft w:val="0"/>
      <w:marRight w:val="0"/>
      <w:marTop w:val="0"/>
      <w:marBottom w:val="0"/>
      <w:divBdr>
        <w:top w:val="none" w:sz="0" w:space="0" w:color="auto"/>
        <w:left w:val="none" w:sz="0" w:space="0" w:color="auto"/>
        <w:bottom w:val="none" w:sz="0" w:space="0" w:color="auto"/>
        <w:right w:val="none" w:sz="0" w:space="0" w:color="auto"/>
      </w:divBdr>
    </w:div>
    <w:div w:id="1159924123">
      <w:bodyDiv w:val="1"/>
      <w:marLeft w:val="0"/>
      <w:marRight w:val="0"/>
      <w:marTop w:val="0"/>
      <w:marBottom w:val="0"/>
      <w:divBdr>
        <w:top w:val="none" w:sz="0" w:space="0" w:color="auto"/>
        <w:left w:val="none" w:sz="0" w:space="0" w:color="auto"/>
        <w:bottom w:val="none" w:sz="0" w:space="0" w:color="auto"/>
        <w:right w:val="none" w:sz="0" w:space="0" w:color="auto"/>
      </w:divBdr>
    </w:div>
    <w:div w:id="1161504706">
      <w:bodyDiv w:val="1"/>
      <w:marLeft w:val="0"/>
      <w:marRight w:val="0"/>
      <w:marTop w:val="0"/>
      <w:marBottom w:val="0"/>
      <w:divBdr>
        <w:top w:val="none" w:sz="0" w:space="0" w:color="auto"/>
        <w:left w:val="none" w:sz="0" w:space="0" w:color="auto"/>
        <w:bottom w:val="none" w:sz="0" w:space="0" w:color="auto"/>
        <w:right w:val="none" w:sz="0" w:space="0" w:color="auto"/>
      </w:divBdr>
    </w:div>
    <w:div w:id="1292979047">
      <w:bodyDiv w:val="1"/>
      <w:marLeft w:val="0"/>
      <w:marRight w:val="0"/>
      <w:marTop w:val="0"/>
      <w:marBottom w:val="0"/>
      <w:divBdr>
        <w:top w:val="none" w:sz="0" w:space="0" w:color="auto"/>
        <w:left w:val="none" w:sz="0" w:space="0" w:color="auto"/>
        <w:bottom w:val="none" w:sz="0" w:space="0" w:color="auto"/>
        <w:right w:val="none" w:sz="0" w:space="0" w:color="auto"/>
      </w:divBdr>
    </w:div>
    <w:div w:id="19640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jairtraman.2015.02.0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44C3F6DE16D4E9038D93EB348306F" ma:contentTypeVersion="4" ma:contentTypeDescription="Create a new document." ma:contentTypeScope="" ma:versionID="e9d4d930df6d877c08d8fb5aa36b63c3">
  <xsd:schema xmlns:xsd="http://www.w3.org/2001/XMLSchema" xmlns:xs="http://www.w3.org/2001/XMLSchema" xmlns:p="http://schemas.microsoft.com/office/2006/metadata/properties" xmlns:ns2="4567c4bf-46c9-4506-b230-c3dd393832a8" targetNamespace="http://schemas.microsoft.com/office/2006/metadata/properties" ma:root="true" ma:fieldsID="24c236b1634f85207a6fb16112942f9f" ns2:_="">
    <xsd:import namespace="4567c4bf-46c9-4506-b230-c3dd393832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c4bf-46c9-4506-b230-c3dd39383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C2562-165D-4172-A6CA-A8D9F4772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c4bf-46c9-4506-b230-c3dd3938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62E0D-1AF7-4200-A838-B195C0428F62}">
  <ds:schemaRefs>
    <ds:schemaRef ds:uri="http://schemas.openxmlformats.org/officeDocument/2006/bibliography"/>
  </ds:schemaRefs>
</ds:datastoreItem>
</file>

<file path=customXml/itemProps3.xml><?xml version="1.0" encoding="utf-8"?>
<ds:datastoreItem xmlns:ds="http://schemas.openxmlformats.org/officeDocument/2006/customXml" ds:itemID="{B8D0DA34-4ACA-4CCC-9D91-123C6B62A9C5}">
  <ds:schemaRefs>
    <ds:schemaRef ds:uri="http://schemas.microsoft.com/sharepoint/v3/contenttype/forms"/>
  </ds:schemaRefs>
</ds:datastoreItem>
</file>

<file path=customXml/itemProps4.xml><?xml version="1.0" encoding="utf-8"?>
<ds:datastoreItem xmlns:ds="http://schemas.openxmlformats.org/officeDocument/2006/customXml" ds:itemID="{5862424E-3CA1-4480-810D-6412F5D536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3116</Words>
  <Characters>17763</Characters>
  <Application>Microsoft Office Word</Application>
  <DocSecurity>0</DocSecurity>
  <Lines>148</Lines>
  <Paragraphs>41</Paragraphs>
  <ScaleCrop>false</ScaleCrop>
  <Company>University of Technology, Sydney</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Venter</dc:creator>
  <cp:keywords/>
  <cp:lastModifiedBy>Maitrya Anupam</cp:lastModifiedBy>
  <cp:revision>3</cp:revision>
  <cp:lastPrinted>2016-04-27T09:57:00Z</cp:lastPrinted>
  <dcterms:created xsi:type="dcterms:W3CDTF">2025-11-02T14:58:00Z</dcterms:created>
  <dcterms:modified xsi:type="dcterms:W3CDTF">2025-11-02T14:59:00Z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2023-04-17T14:10:22Z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f41372c8-ed0f-4817-b3dc-b1de4462d170</vt:lpwstr>
  </property>
  <property fmtid="{D5CDD505-2E9C-101B-9397-08002B2CF9AE}" pid="8" name="MSIP_Label_51a6c3db-1667-4f49-995a-8b9973972958_ContentBits">
    <vt:lpwstr>0</vt:lpwstr>
  </property>
  <property fmtid="{D5CDD505-2E9C-101B-9397-08002B2CF9AE}" pid="9" name="ContentTypeId">
    <vt:lpwstr>0x010100F6F44C3F6DE16D4E9038D93EB348306F</vt:lpwstr>
  </property>
</Properties>
</file>